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bookmarkStart w:id="0" w:name="OLE_LINK1"/>
      <w:r>
        <w:rPr>
          <w:rFonts w:hint="eastAsia" w:ascii="宋体" w:hAnsi="宋体" w:cs="仿宋"/>
          <w:color w:val="FF0000"/>
          <w:w w:val="80"/>
          <w:sz w:val="84"/>
          <w:szCs w:val="84"/>
        </w:rPr>
        <w:t>南 昌 大 学 部 门 函 件</w:t>
      </w:r>
    </w:p>
    <w:p>
      <w:pPr>
        <w:tabs>
          <w:tab w:val="left" w:pos="180"/>
        </w:tabs>
        <w:spacing w:line="240" w:lineRule="atLeast"/>
        <w:jc w:val="center"/>
        <w:rPr>
          <w:sz w:val="28"/>
          <w:szCs w:val="28"/>
          <w:u w:val="thick"/>
        </w:rPr>
      </w:pPr>
      <w:r>
        <w:rPr>
          <w:szCs w:val="20"/>
        </w:rP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183515</wp:posOffset>
                </wp:positionV>
                <wp:extent cx="5615940" cy="10160"/>
                <wp:effectExtent l="0" t="635" r="10160" b="14605"/>
                <wp:wrapNone/>
                <wp:docPr id="6" name="直线 3"/>
                <wp:cNvGraphicFramePr/>
                <a:graphic xmlns:a="http://schemas.openxmlformats.org/drawingml/2006/main">
                  <a:graphicData uri="http://schemas.microsoft.com/office/word/2010/wordprocessingShape">
                    <wps:wsp>
                      <wps:cNvCnPr>
                        <a:cxnSpLocks noChangeShapeType="1"/>
                      </wps:cNvCnPr>
                      <wps:spPr bwMode="auto">
                        <a:xfrm flipV="1">
                          <a:off x="0" y="0"/>
                          <a:ext cx="5615940" cy="10160"/>
                        </a:xfrm>
                        <a:prstGeom prst="line">
                          <a:avLst/>
                        </a:prstGeom>
                        <a:noFill/>
                        <a:ln w="25400">
                          <a:solidFill>
                            <a:srgbClr val="FF0000"/>
                          </a:solidFill>
                          <a:round/>
                        </a:ln>
                        <a:effectLst/>
                      </wps:spPr>
                      <wps:bodyPr/>
                    </wps:wsp>
                  </a:graphicData>
                </a:graphic>
              </wp:anchor>
            </w:drawing>
          </mc:Choice>
          <mc:Fallback>
            <w:pict>
              <v:line id="直线 3" o:spid="_x0000_s1026" o:spt="20" style="position:absolute;left:0pt;flip:y;margin-left:6.35pt;margin-top:14.45pt;height:0.8pt;width:442.2pt;z-index:251659264;mso-width-relative:page;mso-height-relative:page;" filled="f" stroked="t" coordsize="21600,21600" o:gfxdata="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BggV/V&#10;AAAACAEAAA8AAAAAAAAAAQAgAAAAIgAAAGRycy9kb3ducmV2LnhtbFBLAQIUABQAAAAIAIdO4kDB&#10;mW0w6gEAAL4DAAAOAAAAAAAAAAEAIAAAACQBAABkcnMvZTJvRG9jLnhtbFBLBQYAAAAABgAGAFkB&#10;AACABQAAAAA=&#10;">
                <v:fill on="f" focussize="0,0"/>
                <v:stroke weight="2pt" color="#FF0000" joinstyle="round"/>
                <v:imagedata o:title=""/>
                <o:lock v:ext="edit" aspectratio="f"/>
              </v:line>
            </w:pict>
          </mc:Fallback>
        </mc:AlternateContent>
      </w:r>
      <w:r>
        <w:rPr>
          <w:szCs w:val="20"/>
        </w:rPr>
        <mc:AlternateContent>
          <mc:Choice Requires="wps">
            <w:drawing>
              <wp:anchor distT="0" distB="0" distL="114300" distR="114300" simplePos="0" relativeHeight="251660288" behindDoc="0" locked="0" layoutInCell="1" allowOverlap="1">
                <wp:simplePos x="0" y="0"/>
                <wp:positionH relativeFrom="column">
                  <wp:posOffset>94615</wp:posOffset>
                </wp:positionH>
                <wp:positionV relativeFrom="paragraph">
                  <wp:posOffset>241300</wp:posOffset>
                </wp:positionV>
                <wp:extent cx="5615940" cy="8890"/>
                <wp:effectExtent l="0" t="4445" r="10160" b="5715"/>
                <wp:wrapNone/>
                <wp:docPr id="5" name="直线 4"/>
                <wp:cNvGraphicFramePr/>
                <a:graphic xmlns:a="http://schemas.openxmlformats.org/drawingml/2006/main">
                  <a:graphicData uri="http://schemas.microsoft.com/office/word/2010/wordprocessingShape">
                    <wps:wsp>
                      <wps:cNvCnPr>
                        <a:cxnSpLocks noChangeShapeType="1"/>
                      </wps:cNvCnPr>
                      <wps:spPr bwMode="auto">
                        <a:xfrm flipV="1">
                          <a:off x="0" y="0"/>
                          <a:ext cx="5615940" cy="8890"/>
                        </a:xfrm>
                        <a:prstGeom prst="line">
                          <a:avLst/>
                        </a:prstGeom>
                        <a:noFill/>
                        <a:ln w="9525">
                          <a:solidFill>
                            <a:srgbClr val="FF0000"/>
                          </a:solidFill>
                          <a:round/>
                        </a:ln>
                        <a:effectLst/>
                      </wps:spPr>
                      <wps:bodyPr/>
                    </wps:wsp>
                  </a:graphicData>
                </a:graphic>
              </wp:anchor>
            </w:drawing>
          </mc:Choice>
          <mc:Fallback>
            <w:pict>
              <v:line id="直线 4" o:spid="_x0000_s1026" o:spt="20" style="position:absolute;left:0pt;flip:y;margin-left:7.45pt;margin-top:19pt;height:0.7pt;width:442.2pt;z-index:251660288;mso-width-relative:page;mso-height-relative:page;" filled="f" stroked="t" coordsize="21600,21600" o:gfxdata="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D4tpd&#10;1wAAAAgBAAAPAAAAAAAAAAEAIAAAACIAAABkcnMvZG93bnJldi54bWxQSwECFAAUAAAACACHTuJA&#10;tU5Dv+kBAAC8AwAADgAAAAAAAAABACAAAAAmAQAAZHJzL2Uyb0RvYy54bWxQSwUGAAAAAAYABgBZ&#10;AQAAgQUAAAAA&#10;">
                <v:fill on="f" focussize="0,0"/>
                <v:stroke color="#FF0000" joinstyle="round"/>
                <v:imagedata o:title=""/>
                <o:lock v:ext="edit" aspectratio="f"/>
              </v:line>
            </w:pict>
          </mc:Fallback>
        </mc:AlternateContent>
      </w:r>
    </w:p>
    <w:p>
      <w:pPr>
        <w:spacing w:line="560" w:lineRule="exact"/>
        <w:ind w:firstLine="425" w:firstLineChars="133"/>
        <w:jc w:val="right"/>
        <w:rPr>
          <w:rFonts w:ascii="FangSong_GB2312" w:hAnsi="宋体" w:eastAsia="FangSong_GB2312"/>
          <w:sz w:val="32"/>
          <w:szCs w:val="32"/>
        </w:rPr>
      </w:pPr>
      <w:r>
        <w:rPr>
          <w:rFonts w:hint="eastAsia" w:ascii="FangSong_GB2312" w:hAnsi="宋体" w:eastAsia="FangSong_GB2312"/>
          <w:sz w:val="32"/>
          <w:szCs w:val="32"/>
        </w:rPr>
        <w:t>南大旅游函〔2023〕</w:t>
      </w:r>
      <w:r>
        <w:rPr>
          <w:rFonts w:hint="eastAsia" w:asciiTheme="minorEastAsia" w:hAnsiTheme="minorEastAsia" w:eastAsiaTheme="minorEastAsia"/>
          <w:sz w:val="32"/>
          <w:szCs w:val="32"/>
        </w:rPr>
        <w:t>23</w:t>
      </w:r>
      <w:r>
        <w:rPr>
          <w:rFonts w:hint="eastAsia" w:ascii="FangSong_GB2312" w:hAnsi="宋体" w:eastAsia="FangSong_GB2312"/>
          <w:sz w:val="32"/>
          <w:szCs w:val="32"/>
        </w:rPr>
        <w:t>号</w:t>
      </w:r>
      <w:bookmarkEnd w:id="0"/>
    </w:p>
    <w:p>
      <w:pPr>
        <w:jc w:val="center"/>
        <w:rPr>
          <w:rFonts w:hint="eastAsia" w:cs="黑体" w:asciiTheme="majorEastAsia" w:hAnsiTheme="majorEastAsia" w:eastAsiaTheme="majorEastAsia"/>
          <w:b/>
          <w:sz w:val="36"/>
          <w:szCs w:val="36"/>
        </w:rPr>
      </w:pPr>
    </w:p>
    <w:p>
      <w:pPr>
        <w:jc w:val="center"/>
        <w:rPr>
          <w:rFonts w:cs="黑体" w:asciiTheme="majorEastAsia" w:hAnsiTheme="majorEastAsia" w:eastAsiaTheme="majorEastAsia"/>
          <w:b/>
          <w:sz w:val="36"/>
          <w:szCs w:val="36"/>
        </w:rPr>
      </w:pPr>
      <w:r>
        <w:rPr>
          <w:rFonts w:hint="eastAsia" w:cs="黑体" w:asciiTheme="majorEastAsia" w:hAnsiTheme="majorEastAsia" w:eastAsiaTheme="majorEastAsia"/>
          <w:b/>
          <w:sz w:val="36"/>
          <w:szCs w:val="36"/>
        </w:rPr>
        <w:t>关于印发《旅游学院教学高质量发展工作实施方案（2023—2028）》的通知</w:t>
      </w:r>
    </w:p>
    <w:p>
      <w:pPr>
        <w:spacing w:line="500" w:lineRule="atLeast"/>
        <w:jc w:val="center"/>
        <w:rPr>
          <w:rFonts w:cs="黑体" w:asciiTheme="majorEastAsia" w:hAnsiTheme="majorEastAsia" w:eastAsiaTheme="majorEastAsia"/>
          <w:b/>
          <w:sz w:val="44"/>
          <w:szCs w:val="44"/>
        </w:rPr>
      </w:pPr>
    </w:p>
    <w:p>
      <w:pPr>
        <w:spacing w:line="560" w:lineRule="exact"/>
        <w:jc w:val="left"/>
        <w:rPr>
          <w:rFonts w:ascii="FangSong_GB2312" w:hAnsi="宋体" w:eastAsia="FangSong_GB2312"/>
          <w:sz w:val="32"/>
          <w:szCs w:val="32"/>
        </w:rPr>
      </w:pPr>
      <w:r>
        <w:rPr>
          <w:rFonts w:hint="eastAsia" w:ascii="FangSong_GB2312" w:hAnsi="宋体" w:eastAsia="FangSong_GB2312"/>
          <w:sz w:val="32"/>
          <w:szCs w:val="32"/>
        </w:rPr>
        <w:t>院内各部门：</w:t>
      </w:r>
    </w:p>
    <w:p>
      <w:pPr>
        <w:jc w:val="left"/>
        <w:rPr>
          <w:rFonts w:ascii="FangSong_GB2312" w:hAnsi="宋体" w:eastAsia="FangSong_GB2312"/>
          <w:sz w:val="32"/>
          <w:szCs w:val="32"/>
        </w:rPr>
      </w:pPr>
      <w:r>
        <w:rPr>
          <w:rFonts w:hint="eastAsia" w:ascii="FangSong_GB2312" w:hAnsi="宋体" w:eastAsia="FangSong_GB2312"/>
          <w:sz w:val="32"/>
          <w:szCs w:val="32"/>
        </w:rPr>
        <w:t xml:space="preserve">    《旅游学院教学高质量发展工作实施方案（2023—2028）》经2023学院第34次党政联席会（2023年11月13日）审议并原则通过，现予以印发，请遵照执行。</w:t>
      </w:r>
    </w:p>
    <w:p>
      <w:pPr>
        <w:spacing w:line="560" w:lineRule="exact"/>
        <w:ind w:firstLine="640"/>
        <w:rPr>
          <w:rFonts w:ascii="FangSong_GB2312" w:hAnsi="宋体" w:eastAsia="FangSong_GB2312"/>
          <w:sz w:val="32"/>
          <w:szCs w:val="32"/>
        </w:rPr>
      </w:pPr>
    </w:p>
    <w:p>
      <w:pPr>
        <w:spacing w:line="560" w:lineRule="exact"/>
        <w:ind w:firstLine="640"/>
        <w:rPr>
          <w:rFonts w:ascii="FangSong_GB2312" w:hAnsi="宋体" w:eastAsia="FangSong_GB2312"/>
          <w:sz w:val="32"/>
          <w:szCs w:val="32"/>
        </w:rPr>
      </w:pPr>
    </w:p>
    <w:p>
      <w:pPr>
        <w:spacing w:line="560" w:lineRule="exact"/>
        <w:ind w:firstLine="640"/>
        <w:rPr>
          <w:rFonts w:ascii="FangSong_GB2312" w:hAnsi="宋体" w:eastAsia="FangSong_GB2312"/>
          <w:sz w:val="32"/>
          <w:szCs w:val="32"/>
        </w:rPr>
      </w:pPr>
      <w:r>
        <w:rPr>
          <w:rFonts w:hint="eastAsia" w:ascii="FangSong_GB2312" w:hAnsi="宋体" w:eastAsia="FangSong_GB2312"/>
          <w:sz w:val="32"/>
          <w:szCs w:val="32"/>
        </w:rPr>
        <w:t xml:space="preserve">                           南昌大学旅游学院</w:t>
      </w:r>
    </w:p>
    <w:p>
      <w:pPr>
        <w:spacing w:line="560" w:lineRule="exact"/>
        <w:ind w:firstLine="640"/>
        <w:rPr>
          <w:rFonts w:ascii="FangSong_GB2312" w:hAnsi="宋体" w:eastAsia="FangSong_GB2312"/>
          <w:sz w:val="32"/>
          <w:szCs w:val="32"/>
        </w:rPr>
      </w:pPr>
      <w:r>
        <w:rPr>
          <w:rFonts w:hint="eastAsia" w:ascii="FangSong_GB2312" w:hAnsi="宋体" w:eastAsia="FangSong_GB2312"/>
          <w:sz w:val="32"/>
          <w:szCs w:val="32"/>
        </w:rPr>
        <w:t xml:space="preserve">                            2023年1</w:t>
      </w:r>
      <w:r>
        <w:rPr>
          <w:rFonts w:hint="eastAsia" w:asciiTheme="minorEastAsia" w:hAnsiTheme="minorEastAsia" w:eastAsiaTheme="minorEastAsia"/>
          <w:sz w:val="32"/>
          <w:szCs w:val="32"/>
        </w:rPr>
        <w:t>2</w:t>
      </w:r>
      <w:r>
        <w:rPr>
          <w:rFonts w:hint="eastAsia" w:ascii="FangSong_GB2312" w:hAnsi="宋体" w:eastAsia="FangSong_GB2312"/>
          <w:sz w:val="32"/>
          <w:szCs w:val="32"/>
        </w:rPr>
        <w:t>月 1</w:t>
      </w:r>
      <w:r>
        <w:rPr>
          <w:rFonts w:hint="eastAsia" w:asciiTheme="minorEastAsia" w:hAnsiTheme="minorEastAsia" w:eastAsiaTheme="minorEastAsia"/>
          <w:sz w:val="32"/>
          <w:szCs w:val="32"/>
        </w:rPr>
        <w:t>1</w:t>
      </w:r>
      <w:r>
        <w:rPr>
          <w:rFonts w:hint="eastAsia" w:ascii="FangSong_GB2312" w:hAnsi="宋体" w:eastAsia="FangSong_GB2312"/>
          <w:sz w:val="32"/>
          <w:szCs w:val="32"/>
        </w:rPr>
        <w:t>日</w:t>
      </w:r>
    </w:p>
    <w:p>
      <w:pPr>
        <w:widowControl/>
        <w:shd w:val="clear" w:color="auto" w:fill="FFFFFF"/>
        <w:spacing w:line="560" w:lineRule="exact"/>
        <w:jc w:val="center"/>
        <w:rPr>
          <w:rFonts w:ascii="FangSong_GB2312" w:hAnsi="宋体" w:eastAsia="FangSong_GB2312"/>
          <w:sz w:val="32"/>
          <w:szCs w:val="32"/>
        </w:rPr>
      </w:pPr>
    </w:p>
    <w:p>
      <w:pPr>
        <w:widowControl/>
        <w:shd w:val="clear" w:color="auto" w:fill="FFFFFF"/>
        <w:spacing w:line="560" w:lineRule="exact"/>
        <w:jc w:val="center"/>
        <w:rPr>
          <w:rFonts w:cs="黑体" w:asciiTheme="majorEastAsia" w:hAnsiTheme="majorEastAsia" w:eastAsiaTheme="majorEastAsia"/>
          <w:b/>
          <w:sz w:val="44"/>
          <w:szCs w:val="44"/>
        </w:rPr>
      </w:pPr>
    </w:p>
    <w:p>
      <w:pPr>
        <w:widowControl/>
        <w:shd w:val="clear" w:color="auto" w:fill="FFFFFF"/>
        <w:spacing w:line="560" w:lineRule="exact"/>
        <w:jc w:val="center"/>
        <w:rPr>
          <w:rFonts w:cs="黑体" w:asciiTheme="majorEastAsia" w:hAnsiTheme="majorEastAsia" w:eastAsiaTheme="majorEastAsia"/>
          <w:b/>
          <w:sz w:val="44"/>
          <w:szCs w:val="44"/>
        </w:rPr>
      </w:pPr>
    </w:p>
    <w:p>
      <w:pPr>
        <w:widowControl/>
        <w:shd w:val="clear" w:color="auto" w:fill="FFFFFF"/>
        <w:spacing w:line="560" w:lineRule="exact"/>
        <w:jc w:val="center"/>
        <w:rPr>
          <w:rFonts w:cs="黑体" w:asciiTheme="majorEastAsia" w:hAnsiTheme="majorEastAsia" w:eastAsiaTheme="majorEastAsia"/>
          <w:b/>
          <w:sz w:val="44"/>
          <w:szCs w:val="44"/>
        </w:rPr>
      </w:pPr>
    </w:p>
    <w:p>
      <w:pPr>
        <w:widowControl/>
        <w:shd w:val="clear" w:color="auto" w:fill="FFFFFF"/>
        <w:spacing w:line="560" w:lineRule="exact"/>
        <w:jc w:val="center"/>
        <w:rPr>
          <w:rFonts w:cs="黑体" w:asciiTheme="majorEastAsia" w:hAnsiTheme="majorEastAsia" w:eastAsiaTheme="majorEastAsia"/>
          <w:b/>
          <w:sz w:val="44"/>
          <w:szCs w:val="44"/>
        </w:rPr>
      </w:pPr>
    </w:p>
    <w:p>
      <w:pPr>
        <w:widowControl/>
        <w:shd w:val="clear" w:color="auto" w:fill="FFFFFF"/>
        <w:spacing w:line="560" w:lineRule="exact"/>
        <w:jc w:val="center"/>
        <w:rPr>
          <w:rFonts w:cs="黑体" w:asciiTheme="majorEastAsia" w:hAnsiTheme="majorEastAsia" w:eastAsiaTheme="majorEastAsia"/>
          <w:b/>
          <w:sz w:val="44"/>
          <w:szCs w:val="44"/>
        </w:rPr>
      </w:pPr>
    </w:p>
    <w:p>
      <w:pPr>
        <w:widowControl/>
        <w:shd w:val="clear" w:color="auto" w:fill="FFFFFF"/>
        <w:spacing w:line="560" w:lineRule="exact"/>
        <w:jc w:val="center"/>
        <w:rPr>
          <w:rFonts w:cs="黑体" w:asciiTheme="majorEastAsia" w:hAnsiTheme="majorEastAsia" w:eastAsiaTheme="majorEastAsia"/>
          <w:b/>
          <w:sz w:val="44"/>
          <w:szCs w:val="44"/>
        </w:rPr>
      </w:pPr>
    </w:p>
    <w:p>
      <w:pPr>
        <w:jc w:val="center"/>
        <w:rPr>
          <w:rFonts w:hint="eastAsia" w:ascii="黑体" w:hAnsi="黑体" w:eastAsia="黑体" w:cs="黑体"/>
          <w:b/>
          <w:bCs/>
          <w:sz w:val="44"/>
          <w:szCs w:val="44"/>
        </w:rPr>
      </w:pPr>
      <w:r>
        <w:rPr>
          <w:rFonts w:hint="eastAsia" w:ascii="黑体" w:hAnsi="黑体" w:eastAsia="黑体" w:cs="黑体"/>
          <w:b/>
          <w:bCs/>
          <w:sz w:val="44"/>
          <w:szCs w:val="44"/>
        </w:rPr>
        <w:t>旅游学院教学高质量发展工作实施方案</w:t>
      </w:r>
    </w:p>
    <w:p>
      <w:pPr>
        <w:jc w:val="center"/>
        <w:rPr>
          <w:rFonts w:ascii="黑体" w:hAnsi="黑体" w:eastAsia="黑体" w:cs="黑体"/>
          <w:b/>
          <w:bCs/>
          <w:sz w:val="44"/>
          <w:szCs w:val="44"/>
        </w:rPr>
      </w:pPr>
      <w:r>
        <w:rPr>
          <w:rFonts w:hint="eastAsia" w:ascii="黑体" w:hAnsi="黑体" w:eastAsia="黑体" w:cs="黑体"/>
          <w:b/>
          <w:bCs/>
          <w:sz w:val="44"/>
          <w:szCs w:val="44"/>
        </w:rPr>
        <w:t>（2023—2028）</w:t>
      </w:r>
    </w:p>
    <w:p>
      <w:pPr>
        <w:ind w:firstLine="600" w:firstLineChars="200"/>
        <w:rPr>
          <w:rFonts w:ascii="仿宋" w:hAnsi="仿宋" w:eastAsia="仿宋" w:cs="仿宋"/>
          <w:sz w:val="32"/>
          <w:szCs w:val="32"/>
        </w:rPr>
      </w:pPr>
      <w:r>
        <w:rPr>
          <w:rFonts w:hint="eastAsia" w:ascii="仿宋" w:hAnsi="仿宋" w:eastAsia="仿宋" w:cs="仿宋"/>
          <w:color w:val="000000"/>
          <w:sz w:val="30"/>
          <w:szCs w:val="30"/>
        </w:rPr>
        <w:t>为深入学习贯彻习近平总书记关于教育的重要论述，</w:t>
      </w:r>
      <w:r>
        <w:rPr>
          <w:rFonts w:hint="eastAsia" w:ascii="仿宋" w:hAnsi="仿宋" w:eastAsia="仿宋" w:cs="仿宋"/>
          <w:sz w:val="30"/>
          <w:szCs w:val="30"/>
        </w:rPr>
        <w:t>党中央对建设教育强国发出新号令，配合</w:t>
      </w:r>
      <w:r>
        <w:rPr>
          <w:rFonts w:hint="eastAsia" w:ascii="仿宋" w:hAnsi="仿宋" w:eastAsia="仿宋" w:cs="仿宋"/>
          <w:color w:val="000000"/>
          <w:sz w:val="30"/>
          <w:szCs w:val="30"/>
        </w:rPr>
        <w:t>南昌大学</w:t>
      </w:r>
      <w:r>
        <w:rPr>
          <w:rFonts w:hint="eastAsia" w:ascii="仿宋" w:hAnsi="仿宋" w:eastAsia="仿宋" w:cs="仿宋"/>
          <w:sz w:val="30"/>
          <w:szCs w:val="30"/>
        </w:rPr>
        <w:t>开展“新征程、再出发”大讨论，</w:t>
      </w:r>
      <w:r>
        <w:rPr>
          <w:rFonts w:hint="eastAsia" w:ascii="仿宋" w:hAnsi="仿宋" w:eastAsia="仿宋" w:cs="仿宋"/>
          <w:color w:val="000000"/>
          <w:sz w:val="30"/>
          <w:szCs w:val="30"/>
        </w:rPr>
        <w:t>全面动员部署学校迎接新一轮本科教育教学审核评估工作。旅游学院力争在</w:t>
      </w:r>
      <w:r>
        <w:rPr>
          <w:rFonts w:hint="eastAsia" w:ascii="仿宋" w:hAnsi="仿宋" w:eastAsia="仿宋" w:cs="仿宋"/>
          <w:sz w:val="30"/>
          <w:szCs w:val="30"/>
        </w:rPr>
        <w:t>新一轮教育发展中突出旅游专业发展特色，提升专业竞争力，</w:t>
      </w:r>
      <w:r>
        <w:rPr>
          <w:rFonts w:hint="eastAsia" w:ascii="仿宋" w:hAnsi="仿宋" w:eastAsia="仿宋" w:cs="仿宋"/>
          <w:color w:val="000000"/>
          <w:sz w:val="30"/>
          <w:szCs w:val="30"/>
        </w:rPr>
        <w:t>准确把握学科评估工作实质内涵与具体要求，全面推进旅游学院本科教学工作，特制定</w:t>
      </w:r>
      <w:r>
        <w:rPr>
          <w:rFonts w:hint="eastAsia" w:ascii="仿宋" w:hAnsi="仿宋" w:eastAsia="仿宋" w:cs="仿宋"/>
          <w:sz w:val="30"/>
          <w:szCs w:val="30"/>
        </w:rPr>
        <w:t>教学高质量发展工作实施方案。</w:t>
      </w:r>
    </w:p>
    <w:p>
      <w:pPr>
        <w:pStyle w:val="3"/>
        <w:autoSpaceDE w:val="0"/>
        <w:autoSpaceDN w:val="0"/>
        <w:spacing w:before="77" w:line="328" w:lineRule="auto"/>
        <w:ind w:right="273" w:firstLine="640"/>
        <w:rPr>
          <w:rFonts w:hint="eastAsia" w:ascii="黑体" w:hAnsi="黑体" w:eastAsia="黑体" w:cs="黑体"/>
          <w:spacing w:val="-8"/>
          <w:sz w:val="36"/>
          <w:szCs w:val="36"/>
        </w:rPr>
      </w:pPr>
      <w:r>
        <w:rPr>
          <w:rFonts w:hint="eastAsia" w:ascii="黑体" w:hAnsi="黑体" w:eastAsia="黑体" w:cs="黑体"/>
          <w:spacing w:val="-8"/>
          <w:sz w:val="36"/>
          <w:szCs w:val="36"/>
        </w:rPr>
        <w:t>一、指导思想</w:t>
      </w:r>
    </w:p>
    <w:p>
      <w:pPr>
        <w:ind w:firstLine="568" w:firstLineChars="200"/>
        <w:rPr>
          <w:rFonts w:hint="eastAsia" w:ascii="仿宋" w:hAnsi="仿宋" w:eastAsia="仿宋" w:cs="仿宋"/>
          <w:spacing w:val="-8"/>
          <w:sz w:val="30"/>
          <w:szCs w:val="30"/>
        </w:rPr>
      </w:pPr>
      <w:r>
        <w:rPr>
          <w:rFonts w:hint="eastAsia" w:ascii="仿宋" w:hAnsi="仿宋" w:eastAsia="仿宋" w:cs="仿宋"/>
          <w:spacing w:val="-8"/>
          <w:sz w:val="30"/>
          <w:szCs w:val="30"/>
        </w:rPr>
        <w:t>以习近平新时代中国特色社会主义思想为指导，全面贯彻党的二十大精神和党的教育方针，坚持为党育人、为国育才，坚持教育为人民服务、为治国理政服务、为中国特色社会主义制度服务、为改革开放和社会主义现代化建设服务的理念。</w:t>
      </w:r>
    </w:p>
    <w:p>
      <w:pPr>
        <w:pStyle w:val="3"/>
        <w:autoSpaceDE w:val="0"/>
        <w:autoSpaceDN w:val="0"/>
        <w:spacing w:before="77" w:line="328" w:lineRule="auto"/>
        <w:ind w:right="273" w:firstLine="640"/>
        <w:rPr>
          <w:rFonts w:hint="eastAsia" w:ascii="仿宋" w:hAnsi="仿宋" w:eastAsia="仿宋" w:cs="仿宋"/>
          <w:spacing w:val="-8"/>
          <w:sz w:val="36"/>
          <w:szCs w:val="36"/>
        </w:rPr>
      </w:pPr>
      <w:r>
        <w:rPr>
          <w:rFonts w:hint="eastAsia" w:ascii="黑体" w:hAnsi="黑体" w:eastAsia="黑体" w:cs="黑体"/>
          <w:spacing w:val="-8"/>
          <w:sz w:val="36"/>
          <w:szCs w:val="36"/>
        </w:rPr>
        <w:t>二、方针政策</w:t>
      </w:r>
    </w:p>
    <w:p>
      <w:pPr>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一是全院联动、凝聚合力。</w:t>
      </w:r>
    </w:p>
    <w:p>
      <w:pPr>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二是强化OBE理念，结合“四新”建设，构建旅游专业产教融合高质量教学项目。</w:t>
      </w:r>
    </w:p>
    <w:p>
      <w:pPr>
        <w:ind w:firstLine="600" w:firstLineChars="200"/>
        <w:rPr>
          <w:rFonts w:hint="eastAsia" w:ascii="仿宋" w:hAnsi="仿宋" w:eastAsia="仿宋" w:cs="仿宋"/>
          <w:sz w:val="30"/>
          <w:szCs w:val="30"/>
          <w:shd w:val="clear" w:color="auto" w:fill="FFFFFF"/>
        </w:rPr>
      </w:pPr>
      <w:r>
        <w:rPr>
          <w:rFonts w:hint="eastAsia" w:ascii="仿宋" w:hAnsi="仿宋" w:eastAsia="仿宋" w:cs="仿宋"/>
          <w:sz w:val="30"/>
          <w:szCs w:val="30"/>
          <w:shd w:val="clear" w:color="auto" w:fill="FFFFFF"/>
        </w:rPr>
        <w:t>三是持续增强对“以本为本，四个回归”概念的理解，将其融入到旅游本科教育教学的全过程中。</w:t>
      </w:r>
    </w:p>
    <w:p>
      <w:pPr>
        <w:ind w:firstLine="600" w:firstLineChars="200"/>
        <w:rPr>
          <w:rFonts w:hint="eastAsia" w:ascii="仿宋" w:hAnsi="仿宋" w:eastAsia="仿宋" w:cs="仿宋"/>
          <w:sz w:val="30"/>
          <w:szCs w:val="30"/>
        </w:rPr>
      </w:pPr>
      <w:r>
        <w:rPr>
          <w:rFonts w:hint="eastAsia" w:ascii="仿宋" w:hAnsi="仿宋" w:eastAsia="仿宋" w:cs="仿宋"/>
          <w:sz w:val="30"/>
          <w:szCs w:val="30"/>
          <w:shd w:val="clear" w:color="auto" w:fill="FFFFFF"/>
        </w:rPr>
        <w:t xml:space="preserve">四是拓宽旅游教育教学的工作视野，更好地响应党和国家教育教学工作的号召。    </w:t>
      </w:r>
    </w:p>
    <w:p>
      <w:pPr>
        <w:spacing w:line="360" w:lineRule="auto"/>
        <w:ind w:firstLine="723" w:firstLineChars="200"/>
        <w:rPr>
          <w:rFonts w:hint="eastAsia" w:ascii="黑体" w:hAnsi="黑体" w:eastAsia="黑体" w:cs="黑体"/>
          <w:b/>
          <w:sz w:val="36"/>
          <w:szCs w:val="36"/>
        </w:rPr>
      </w:pPr>
      <w:r>
        <w:rPr>
          <w:rFonts w:hint="eastAsia" w:ascii="黑体" w:hAnsi="黑体" w:eastAsia="黑体" w:cs="黑体"/>
          <w:b/>
          <w:sz w:val="36"/>
          <w:szCs w:val="36"/>
        </w:rPr>
        <w:t>三、建设指标</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（一）教学队伍建设</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教学团队与教学名师培育计划：以教学团队为单位开设课程，每个系培育两门以上专业相关品牌课程群；培养3~5位青年教师选手，在校级教学竞赛获奖至少2项，在省级教学竞赛获奖至少1项；培养3位以上省级中青年骨干教师；积极申报省级及以上教学名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师资队伍建设培育办法：校级教学竞赛获奖资助3000元/人次，省级教学竞赛获奖资助1万元/人次；校级教学名师资助1万元/人次，省级教学名师资助3万元/人次，国家级教学名师资助10万元/人次，以上资助按照项目立项前资助</w:t>
      </w:r>
      <w:r>
        <w:rPr>
          <w:rFonts w:ascii="仿宋" w:hAnsi="仿宋" w:eastAsia="仿宋" w:cs="仿宋"/>
          <w:sz w:val="30"/>
          <w:szCs w:val="30"/>
        </w:rPr>
        <w:t>60%</w:t>
      </w:r>
      <w:r>
        <w:rPr>
          <w:rFonts w:hint="eastAsia" w:ascii="仿宋" w:hAnsi="仿宋" w:eastAsia="仿宋" w:cs="仿宋"/>
          <w:sz w:val="30"/>
          <w:szCs w:val="30"/>
        </w:rPr>
        <w:t>，项目立项后资助4</w:t>
      </w:r>
      <w:r>
        <w:rPr>
          <w:rFonts w:ascii="仿宋" w:hAnsi="仿宋" w:eastAsia="仿宋" w:cs="仿宋"/>
          <w:sz w:val="30"/>
          <w:szCs w:val="30"/>
        </w:rPr>
        <w:t>0%</w:t>
      </w:r>
      <w:r>
        <w:rPr>
          <w:rFonts w:hint="eastAsia" w:ascii="仿宋" w:hAnsi="仿宋" w:eastAsia="仿宋" w:cs="仿宋"/>
          <w:sz w:val="30"/>
          <w:szCs w:val="30"/>
        </w:rPr>
        <w:t>。</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（二）课程群建设</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1、紧扣人才培养与就业需求、结合专业核心课程，重点打造红色旅游、旅游规划、遗产旅游、会展营销、会展策划、旅游数字化课程群，将国家一流课程-“红色旅</w:t>
      </w:r>
      <w:bookmarkStart w:id="1" w:name="_GoBack"/>
      <w:bookmarkEnd w:id="1"/>
      <w:r>
        <w:rPr>
          <w:rFonts w:hint="eastAsia" w:ascii="仿宋" w:hAnsi="仿宋" w:eastAsia="仿宋" w:cs="仿宋"/>
          <w:sz w:val="30"/>
          <w:szCs w:val="30"/>
        </w:rPr>
        <w:t>游”建设好，重点培育“旅游规划与开发”、“遗产旅游”和“旅游景区管理”“会展概论”“会展策划与设计”“茶文化遗产与旅游”等一流课程；每年组织2次以上一流课程建设交流会，邀请国家级教学名师与国家级教学成果奖获得者等专家指导建设。</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2、课程群建设培育办法：资助5-8门课程冲击省一流和国家一流课程，省一流</w:t>
      </w:r>
      <w:r>
        <w:rPr>
          <w:rFonts w:hint="eastAsia" w:ascii="仿宋" w:hAnsi="仿宋" w:eastAsia="仿宋" w:cs="仿宋"/>
          <w:sz w:val="30"/>
          <w:szCs w:val="30"/>
          <w:lang w:eastAsia="zh-CN"/>
        </w:rPr>
        <w:t>课程</w:t>
      </w:r>
      <w:r>
        <w:rPr>
          <w:rFonts w:hint="eastAsia" w:ascii="仿宋" w:hAnsi="仿宋" w:eastAsia="仿宋" w:cs="仿宋"/>
          <w:sz w:val="30"/>
          <w:szCs w:val="30"/>
        </w:rPr>
        <w:t>(含省级研究生优质课程</w:t>
      </w:r>
      <w:r>
        <w:rPr>
          <w:rFonts w:ascii="仿宋" w:hAnsi="仿宋" w:eastAsia="仿宋" w:cs="仿宋"/>
          <w:sz w:val="30"/>
          <w:szCs w:val="30"/>
        </w:rPr>
        <w:t>)</w:t>
      </w:r>
      <w:r>
        <w:rPr>
          <w:rFonts w:hint="eastAsia" w:ascii="仿宋" w:hAnsi="仿宋" w:eastAsia="仿宋" w:cs="仿宋"/>
          <w:sz w:val="30"/>
          <w:szCs w:val="30"/>
        </w:rPr>
        <w:t>培育2万元/门；国家级一流课程培育5万元/门，两者不重叠资助，以上培育费由课程负责人按照财务要求进行管理。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（三）教材建设</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1、建设高水平教材，主要是教育部认定的高水平教材，旅游管理系拟重点孵化教材清单：“旅游规划与开发”“乡村旅游”“遗产旅游”“红色旅游”等。</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2、会展经济与管理拟重点孵化教材清单：“会展营销”、“会展策划与管理”。</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3、具体资助办法：资助出版费用6万元每本，可同步申请学校教材资助。</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（四）教学成果奖培育</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1、旅游学院利用现有教学成果组织团队冲击省级教学成果奖。鼓励各系根据有基础的教学成果积极申报。</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2、具体资助办法：培育省级教学成果奖项目团队资助3万元/项，申报成功资助6万元/项（含前期培育经费），以上培育费由课程负责人按照财务要求进行管理。</w:t>
      </w:r>
    </w:p>
    <w:p>
      <w:pPr>
        <w:widowControl/>
        <w:numPr>
          <w:ilvl w:val="0"/>
          <w:numId w:val="1"/>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教改项目</w:t>
      </w:r>
    </w:p>
    <w:p>
      <w:pPr>
        <w:spacing w:line="360" w:lineRule="auto"/>
        <w:ind w:left="480" w:firstLine="300" w:firstLineChars="100"/>
        <w:rPr>
          <w:rFonts w:hint="eastAsia" w:ascii="仿宋" w:hAnsi="仿宋" w:eastAsia="仿宋" w:cs="仿宋"/>
          <w:sz w:val="30"/>
          <w:szCs w:val="30"/>
        </w:rPr>
      </w:pPr>
      <w:r>
        <w:rPr>
          <w:rFonts w:hint="eastAsia" w:ascii="仿宋" w:hAnsi="仿宋" w:eastAsia="仿宋" w:cs="仿宋"/>
          <w:sz w:val="30"/>
          <w:szCs w:val="30"/>
        </w:rPr>
        <w:t>1、鼓励教师发表中文核心级别以上的高水平论文以及省级以上教改项目（含研究生学位与教育改革项目）立项。</w:t>
      </w:r>
    </w:p>
    <w:p>
      <w:pPr>
        <w:spacing w:line="360" w:lineRule="auto"/>
        <w:ind w:left="480" w:firstLine="300" w:firstLineChars="100"/>
        <w:rPr>
          <w:rFonts w:hint="eastAsia" w:ascii="仿宋" w:hAnsi="仿宋" w:eastAsia="仿宋" w:cs="仿宋"/>
          <w:sz w:val="30"/>
          <w:szCs w:val="30"/>
        </w:rPr>
      </w:pPr>
      <w:r>
        <w:rPr>
          <w:rFonts w:hint="eastAsia" w:ascii="仿宋" w:hAnsi="仿宋" w:eastAsia="仿宋" w:cs="仿宋"/>
          <w:sz w:val="30"/>
          <w:szCs w:val="30"/>
        </w:rPr>
        <w:t>2、具体资助办法：培育教改论文，资助5000元每篇，发表在中文核心期刊级别，后期资助5000元；发表在C刊以上级别，后期资助1万元。省级教改项目立项资助5000元，国家级教改项目立项资助1万元。</w:t>
      </w:r>
    </w:p>
    <w:p>
      <w:pPr>
        <w:widowControl/>
        <w:numPr>
          <w:ilvl w:val="0"/>
          <w:numId w:val="1"/>
        </w:numPr>
        <w:spacing w:line="360" w:lineRule="auto"/>
        <w:ind w:firstLine="600" w:firstLineChars="200"/>
        <w:jc w:val="left"/>
        <w:rPr>
          <w:rFonts w:hint="eastAsia" w:ascii="仿宋" w:hAnsi="仿宋" w:eastAsia="仿宋" w:cs="仿宋"/>
          <w:sz w:val="30"/>
          <w:szCs w:val="30"/>
        </w:rPr>
      </w:pPr>
      <w:r>
        <w:rPr>
          <w:rFonts w:hint="eastAsia" w:ascii="仿宋" w:hAnsi="仿宋" w:eastAsia="仿宋" w:cs="仿宋"/>
          <w:sz w:val="30"/>
          <w:szCs w:val="30"/>
        </w:rPr>
        <w:t>教学竞赛</w:t>
      </w:r>
    </w:p>
    <w:p>
      <w:pPr>
        <w:widowControl/>
        <w:numPr>
          <w:ilvl w:val="0"/>
          <w:numId w:val="2"/>
        </w:numPr>
        <w:spacing w:line="360" w:lineRule="auto"/>
        <w:ind w:left="420" w:leftChars="200" w:firstLine="300" w:firstLineChars="100"/>
        <w:jc w:val="left"/>
        <w:rPr>
          <w:rFonts w:hint="eastAsia" w:ascii="仿宋" w:hAnsi="仿宋" w:eastAsia="仿宋" w:cs="仿宋"/>
          <w:sz w:val="30"/>
          <w:szCs w:val="30"/>
        </w:rPr>
      </w:pPr>
      <w:r>
        <w:rPr>
          <w:rFonts w:hint="eastAsia" w:ascii="仿宋" w:hAnsi="仿宋" w:eastAsia="仿宋" w:cs="仿宋"/>
          <w:sz w:val="30"/>
          <w:szCs w:val="30"/>
        </w:rPr>
        <w:t>积极培育互联网+、挑战杯项目；</w:t>
      </w:r>
    </w:p>
    <w:p>
      <w:pPr>
        <w:widowControl/>
        <w:numPr>
          <w:ilvl w:val="0"/>
          <w:numId w:val="2"/>
        </w:numPr>
        <w:spacing w:line="360" w:lineRule="auto"/>
        <w:ind w:left="420" w:leftChars="200" w:firstLine="300" w:firstLineChars="100"/>
        <w:jc w:val="left"/>
        <w:rPr>
          <w:rFonts w:ascii="仿宋" w:hAnsi="仿宋" w:eastAsia="仿宋" w:cs="仿宋"/>
          <w:sz w:val="30"/>
          <w:szCs w:val="30"/>
        </w:rPr>
      </w:pPr>
      <w:r>
        <w:rPr>
          <w:rFonts w:hint="eastAsia" w:ascii="仿宋" w:hAnsi="仿宋" w:eastAsia="仿宋" w:cs="仿宋"/>
          <w:sz w:val="30"/>
          <w:szCs w:val="30"/>
        </w:rPr>
        <w:t>具体资助办法：</w:t>
      </w:r>
    </w:p>
    <w:p>
      <w:pPr>
        <w:widowControl/>
        <w:ind w:firstLine="900" w:firstLineChars="300"/>
        <w:jc w:val="left"/>
        <w:rPr>
          <w:rFonts w:ascii="仿宋" w:hAnsi="仿宋" w:eastAsia="仿宋" w:cs="仿宋"/>
          <w:sz w:val="30"/>
          <w:szCs w:val="30"/>
        </w:rPr>
      </w:pPr>
      <w:r>
        <w:rPr>
          <w:rFonts w:hint="eastAsia" w:ascii="仿宋" w:hAnsi="仿宋" w:eastAsia="仿宋" w:cs="仿宋"/>
          <w:sz w:val="30"/>
          <w:szCs w:val="30"/>
        </w:rPr>
        <w:t>项目培育办法：互联网+、挑战杯项目校赛：1000元每项；互联网+、挑战杯项目省赛：2000元每项；</w:t>
      </w:r>
      <w:r>
        <w:rPr>
          <w:rFonts w:ascii="仿宋" w:hAnsi="仿宋" w:eastAsia="仿宋" w:cs="仿宋"/>
          <w:sz w:val="30"/>
          <w:szCs w:val="30"/>
        </w:rPr>
        <w:t>互联网+、挑战杯项目</w:t>
      </w:r>
      <w:r>
        <w:rPr>
          <w:rFonts w:hint="eastAsia" w:ascii="仿宋" w:hAnsi="仿宋" w:eastAsia="仿宋" w:cs="仿宋"/>
          <w:sz w:val="30"/>
          <w:szCs w:val="30"/>
        </w:rPr>
        <w:t>国</w:t>
      </w:r>
      <w:r>
        <w:rPr>
          <w:rFonts w:ascii="仿宋" w:hAnsi="仿宋" w:eastAsia="仿宋" w:cs="仿宋"/>
          <w:sz w:val="30"/>
          <w:szCs w:val="30"/>
        </w:rPr>
        <w:t>赛：</w:t>
      </w:r>
      <w:r>
        <w:rPr>
          <w:rFonts w:hint="eastAsia" w:ascii="仿宋" w:hAnsi="仿宋" w:eastAsia="仿宋" w:cs="仿宋"/>
          <w:sz w:val="30"/>
          <w:szCs w:val="30"/>
        </w:rPr>
        <w:t>3000</w:t>
      </w:r>
      <w:r>
        <w:rPr>
          <w:rFonts w:ascii="仿宋" w:hAnsi="仿宋" w:eastAsia="仿宋" w:cs="仿宋"/>
          <w:sz w:val="30"/>
          <w:szCs w:val="30"/>
        </w:rPr>
        <w:t>元每项</w:t>
      </w:r>
      <w:r>
        <w:rPr>
          <w:rFonts w:hint="eastAsia" w:ascii="仿宋" w:hAnsi="仿宋" w:eastAsia="仿宋" w:cs="仿宋"/>
          <w:sz w:val="30"/>
          <w:szCs w:val="30"/>
        </w:rPr>
        <w:t>。获“互联网+”国赛金、银奖，资助2万元；挑战杯项目国赛金、银奖，资助2万元。</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（七）教学案例1、积极培育优秀教学案例（省级入库或获奖，含本科及硕士）；</w:t>
      </w:r>
    </w:p>
    <w:p>
      <w:pPr>
        <w:spacing w:line="360" w:lineRule="auto"/>
        <w:ind w:firstLine="600" w:firstLineChars="200"/>
        <w:rPr>
          <w:rFonts w:hint="eastAsia" w:ascii="仿宋" w:hAnsi="仿宋" w:eastAsia="仿宋" w:cs="仿宋"/>
          <w:sz w:val="30"/>
          <w:szCs w:val="30"/>
        </w:rPr>
      </w:pPr>
      <w:r>
        <w:rPr>
          <w:rFonts w:ascii="仿宋" w:hAnsi="仿宋" w:eastAsia="仿宋" w:cs="仿宋"/>
          <w:sz w:val="30"/>
          <w:szCs w:val="30"/>
        </w:rPr>
        <w:t>2.</w:t>
      </w:r>
      <w:r>
        <w:rPr>
          <w:rFonts w:hint="eastAsia" w:ascii="仿宋" w:hAnsi="仿宋" w:eastAsia="仿宋" w:cs="仿宋"/>
          <w:sz w:val="30"/>
          <w:szCs w:val="30"/>
        </w:rPr>
        <w:t xml:space="preserve"> 具体资助办法：获省级入库或获奖，资助经费5</w:t>
      </w:r>
      <w:r>
        <w:rPr>
          <w:rFonts w:ascii="仿宋" w:hAnsi="仿宋" w:eastAsia="仿宋" w:cs="仿宋"/>
          <w:sz w:val="30"/>
          <w:szCs w:val="30"/>
        </w:rPr>
        <w:t>000</w:t>
      </w:r>
      <w:r>
        <w:rPr>
          <w:rFonts w:hint="eastAsia" w:ascii="仿宋" w:hAnsi="仿宋" w:eastAsia="仿宋" w:cs="仿宋"/>
          <w:sz w:val="30"/>
          <w:szCs w:val="30"/>
        </w:rPr>
        <w:t>元，获国家级入库或获奖，资助1</w:t>
      </w:r>
      <w:r>
        <w:rPr>
          <w:rFonts w:ascii="仿宋" w:hAnsi="仿宋" w:eastAsia="仿宋" w:cs="仿宋"/>
          <w:sz w:val="30"/>
          <w:szCs w:val="30"/>
        </w:rPr>
        <w:t>0000</w:t>
      </w:r>
      <w:r>
        <w:rPr>
          <w:rFonts w:hint="eastAsia" w:ascii="仿宋" w:hAnsi="仿宋" w:eastAsia="仿宋" w:cs="仿宋"/>
          <w:sz w:val="30"/>
          <w:szCs w:val="30"/>
        </w:rPr>
        <w:t>元。</w:t>
      </w:r>
    </w:p>
    <w:p>
      <w:pPr>
        <w:spacing w:line="360" w:lineRule="auto"/>
        <w:ind w:left="600"/>
        <w:rPr>
          <w:rFonts w:ascii="仿宋" w:hAnsi="仿宋" w:eastAsia="仿宋" w:cs="仿宋"/>
          <w:sz w:val="30"/>
          <w:szCs w:val="30"/>
        </w:rPr>
      </w:pPr>
      <w:r>
        <w:rPr>
          <w:rFonts w:hint="eastAsia" w:ascii="仿宋" w:hAnsi="仿宋" w:eastAsia="仿宋" w:cs="仿宋"/>
          <w:sz w:val="30"/>
          <w:szCs w:val="30"/>
        </w:rPr>
        <w:t>（八）补充说明</w:t>
      </w:r>
    </w:p>
    <w:p>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以上项目资助从双一流建设经费中支出，支出总额度占经费的6</w:t>
      </w:r>
      <w:r>
        <w:rPr>
          <w:rFonts w:ascii="仿宋" w:hAnsi="仿宋" w:eastAsia="仿宋" w:cs="仿宋"/>
          <w:sz w:val="30"/>
          <w:szCs w:val="30"/>
        </w:rPr>
        <w:t>0%</w:t>
      </w:r>
      <w:r>
        <w:rPr>
          <w:rFonts w:hint="eastAsia" w:ascii="仿宋" w:hAnsi="仿宋" w:eastAsia="仿宋" w:cs="仿宋"/>
          <w:sz w:val="30"/>
          <w:szCs w:val="30"/>
        </w:rPr>
        <w:t>，项目申请采用竞争性方式实施，成熟一项资助一项，同时制定相应资助考核方案。</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所有资助经费独立于旅游学院绩效考核办法之外单独核算，如有其他教学成果，也可一事一议，本办法发布后执行。</w:t>
      </w:r>
    </w:p>
    <w:p>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                               </w:t>
      </w:r>
      <w:r>
        <w:rPr>
          <w:rFonts w:ascii="仿宋" w:hAnsi="仿宋" w:eastAsia="仿宋" w:cs="仿宋"/>
          <w:sz w:val="30"/>
          <w:szCs w:val="30"/>
        </w:rPr>
        <w:t xml:space="preserve"> </w:t>
      </w:r>
      <w:r>
        <w:rPr>
          <w:rFonts w:hint="eastAsia" w:ascii="仿宋" w:hAnsi="仿宋" w:eastAsia="仿宋" w:cs="仿宋"/>
          <w:sz w:val="30"/>
          <w:szCs w:val="30"/>
        </w:rPr>
        <w:t>南昌大学旅游学院</w:t>
      </w:r>
    </w:p>
    <w:p>
      <w:pPr>
        <w:pStyle w:val="2"/>
        <w:spacing w:line="560" w:lineRule="exact"/>
        <w:ind w:right="-57"/>
        <w:rPr>
          <w:rFonts w:ascii="FangSong_GB2312" w:hAnsi="仿宋" w:eastAsia="FangSong_GB2312" w:cs="仿宋"/>
          <w:b w:val="0"/>
          <w:bCs w:val="0"/>
          <w:kern w:val="0"/>
        </w:rPr>
      </w:pPr>
      <w:r>
        <w:rPr>
          <w:rFonts w:hint="eastAsia" w:ascii="仿宋" w:hAnsi="仿宋" w:eastAsia="仿宋" w:cs="仿宋"/>
          <w:sz w:val="30"/>
          <w:szCs w:val="30"/>
        </w:rPr>
        <w:t xml:space="preserve">                                  </w:t>
      </w:r>
      <w:r>
        <w:rPr>
          <w:rFonts w:hint="eastAsia" w:ascii="仿宋" w:hAnsi="仿宋" w:eastAsia="仿宋" w:cs="仿宋"/>
          <w:b w:val="0"/>
          <w:sz w:val="30"/>
          <w:szCs w:val="30"/>
        </w:rPr>
        <w:t xml:space="preserve"> 2023年12月</w:t>
      </w:r>
      <w:r>
        <w:rPr>
          <w:rFonts w:hint="eastAsia" w:ascii="仿宋" w:hAnsi="仿宋" w:eastAsia="仿宋" w:cs="仿宋"/>
          <w:b w:val="0"/>
        </w:rPr>
        <w:t xml:space="preserve">  </w:t>
      </w:r>
    </w:p>
    <w:tbl>
      <w:tblPr>
        <w:tblStyle w:val="8"/>
        <w:tblpPr w:leftFromText="180" w:rightFromText="180" w:vertAnchor="text" w:horzAnchor="margin" w:tblpXSpec="right" w:tblpY="585"/>
        <w:tblW w:w="8872"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886"/>
        <w:gridCol w:w="398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trHeight w:val="556" w:hRule="atLeast"/>
        </w:trPr>
        <w:tc>
          <w:tcPr>
            <w:tcW w:w="4886" w:type="dxa"/>
            <w:tcBorders>
              <w:top w:val="single" w:color="auto" w:sz="4" w:space="0"/>
              <w:bottom w:val="single" w:color="auto" w:sz="12" w:space="0"/>
              <w:right w:val="nil"/>
            </w:tcBorders>
          </w:tcPr>
          <w:p>
            <w:pPr>
              <w:jc w:val="left"/>
              <w:rPr>
                <w:rFonts w:ascii="仿宋" w:hAnsi="仿宋" w:eastAsia="仿宋"/>
                <w:sz w:val="32"/>
                <w:szCs w:val="32"/>
                <w:lang w:val="zh-CN"/>
              </w:rPr>
            </w:pPr>
            <w:r>
              <w:rPr>
                <w:rFonts w:hint="eastAsia" w:ascii="仿宋" w:hAnsi="仿宋" w:eastAsia="仿宋"/>
                <w:sz w:val="32"/>
                <w:szCs w:val="32"/>
                <w:lang w:val="zh-CN"/>
              </w:rPr>
              <w:t>南昌大学旅游学院办公室</w:t>
            </w:r>
          </w:p>
        </w:tc>
        <w:tc>
          <w:tcPr>
            <w:tcW w:w="3986" w:type="dxa"/>
            <w:tcBorders>
              <w:top w:val="single" w:color="auto" w:sz="4" w:space="0"/>
              <w:left w:val="nil"/>
              <w:bottom w:val="single" w:color="auto" w:sz="12" w:space="0"/>
            </w:tcBorders>
          </w:tcPr>
          <w:p>
            <w:pPr>
              <w:wordWrap w:val="0"/>
              <w:jc w:val="right"/>
              <w:rPr>
                <w:rFonts w:ascii="仿宋" w:hAnsi="仿宋" w:eastAsia="仿宋"/>
                <w:sz w:val="32"/>
                <w:szCs w:val="32"/>
                <w:lang w:val="zh-CN"/>
              </w:rPr>
            </w:pPr>
            <w:r>
              <w:rPr>
                <w:rFonts w:ascii="仿宋" w:hAnsi="仿宋" w:eastAsia="仿宋"/>
                <w:sz w:val="32"/>
                <w:szCs w:val="32"/>
                <w:lang w:val="zh-CN"/>
              </w:rPr>
              <w:t>20</w:t>
            </w:r>
            <w:r>
              <w:rPr>
                <w:rFonts w:hint="eastAsia" w:ascii="仿宋" w:hAnsi="仿宋" w:eastAsia="仿宋"/>
                <w:sz w:val="32"/>
                <w:szCs w:val="32"/>
              </w:rPr>
              <w:t>23</w:t>
            </w:r>
            <w:r>
              <w:rPr>
                <w:rFonts w:hint="eastAsia" w:ascii="仿宋" w:hAnsi="仿宋" w:eastAsia="仿宋"/>
                <w:sz w:val="32"/>
                <w:szCs w:val="32"/>
                <w:lang w:val="zh-CN"/>
              </w:rPr>
              <w:t>年</w:t>
            </w:r>
            <w:r>
              <w:rPr>
                <w:rFonts w:hint="eastAsia" w:ascii="仿宋" w:hAnsi="仿宋" w:eastAsia="仿宋"/>
                <w:sz w:val="32"/>
                <w:szCs w:val="32"/>
              </w:rPr>
              <w:t>12</w:t>
            </w:r>
            <w:r>
              <w:rPr>
                <w:rFonts w:hint="eastAsia" w:ascii="仿宋" w:hAnsi="仿宋" w:eastAsia="仿宋"/>
                <w:sz w:val="32"/>
                <w:szCs w:val="32"/>
                <w:lang w:val="zh-CN"/>
              </w:rPr>
              <w:t>月</w:t>
            </w:r>
            <w:r>
              <w:rPr>
                <w:rFonts w:hint="eastAsia" w:ascii="仿宋" w:hAnsi="仿宋" w:eastAsia="仿宋"/>
                <w:sz w:val="32"/>
                <w:szCs w:val="32"/>
              </w:rPr>
              <w:t>11</w:t>
            </w:r>
            <w:r>
              <w:rPr>
                <w:rFonts w:hint="eastAsia" w:ascii="仿宋" w:hAnsi="仿宋" w:eastAsia="仿宋"/>
                <w:sz w:val="32"/>
                <w:szCs w:val="32"/>
                <w:lang w:val="zh-CN"/>
              </w:rPr>
              <w:t>日印发</w:t>
            </w:r>
          </w:p>
        </w:tc>
      </w:tr>
    </w:tbl>
    <w:p>
      <w:pPr>
        <w:widowControl/>
        <w:spacing w:line="560" w:lineRule="exact"/>
        <w:rPr>
          <w:rFonts w:ascii="仿宋" w:hAnsi="仿宋" w:eastAsia="仿宋" w:cs="仿宋"/>
          <w:sz w:val="32"/>
          <w:szCs w:val="32"/>
        </w:rPr>
      </w:pPr>
    </w:p>
    <w:sectPr>
      <w:pgSz w:w="11906" w:h="16838"/>
      <w:pgMar w:top="1440" w:right="1558"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60101010101"/>
    <w:charset w:val="00"/>
    <w:family w:val="roman"/>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FB9A81"/>
    <w:multiLevelType w:val="singleLevel"/>
    <w:tmpl w:val="B2FB9A81"/>
    <w:lvl w:ilvl="0" w:tentative="0">
      <w:start w:val="5"/>
      <w:numFmt w:val="chineseCounting"/>
      <w:suff w:val="nothing"/>
      <w:lvlText w:val="（%1）"/>
      <w:lvlJc w:val="left"/>
      <w:rPr>
        <w:rFonts w:hint="eastAsia"/>
      </w:rPr>
    </w:lvl>
  </w:abstractNum>
  <w:abstractNum w:abstractNumId="1">
    <w:nsid w:val="7FF6D4F1"/>
    <w:multiLevelType w:val="singleLevel"/>
    <w:tmpl w:val="7FF6D4F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TRkODU4Mzc2YjVhMzdlN2ZiN2EyZjE2YWUxN2EifQ=="/>
  </w:docVars>
  <w:rsids>
    <w:rsidRoot w:val="14382964"/>
    <w:rsid w:val="000A7760"/>
    <w:rsid w:val="001864EF"/>
    <w:rsid w:val="0035712D"/>
    <w:rsid w:val="003E462F"/>
    <w:rsid w:val="004E1FA6"/>
    <w:rsid w:val="006413D0"/>
    <w:rsid w:val="00687066"/>
    <w:rsid w:val="006C4A62"/>
    <w:rsid w:val="006D46EE"/>
    <w:rsid w:val="00737C58"/>
    <w:rsid w:val="00776CAF"/>
    <w:rsid w:val="00863B95"/>
    <w:rsid w:val="008A4E2A"/>
    <w:rsid w:val="00AB54EF"/>
    <w:rsid w:val="00B65D6F"/>
    <w:rsid w:val="00B91BD9"/>
    <w:rsid w:val="00CC4B9D"/>
    <w:rsid w:val="00D45ADF"/>
    <w:rsid w:val="00E26EF0"/>
    <w:rsid w:val="00F12DE8"/>
    <w:rsid w:val="01F75850"/>
    <w:rsid w:val="031A4E25"/>
    <w:rsid w:val="08CB4341"/>
    <w:rsid w:val="09D354AA"/>
    <w:rsid w:val="0C441772"/>
    <w:rsid w:val="13C219C0"/>
    <w:rsid w:val="14382964"/>
    <w:rsid w:val="15B92761"/>
    <w:rsid w:val="1DE92761"/>
    <w:rsid w:val="269543A0"/>
    <w:rsid w:val="28F526F5"/>
    <w:rsid w:val="297D524A"/>
    <w:rsid w:val="29AB1EDF"/>
    <w:rsid w:val="2D6C2E27"/>
    <w:rsid w:val="43B6493C"/>
    <w:rsid w:val="49002B12"/>
    <w:rsid w:val="49D96973"/>
    <w:rsid w:val="50B151B2"/>
    <w:rsid w:val="575246AC"/>
    <w:rsid w:val="58060A3B"/>
    <w:rsid w:val="5C7A1BCF"/>
    <w:rsid w:val="61AD71D5"/>
    <w:rsid w:val="72C50FCD"/>
    <w:rsid w:val="78037E32"/>
    <w:rsid w:val="7A5857C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link w:val="15"/>
    <w:qFormat/>
    <w:uiPriority w:val="1"/>
    <w:pPr>
      <w:spacing w:line="574" w:lineRule="exact"/>
      <w:ind w:left="807"/>
      <w:outlineLvl w:val="0"/>
    </w:pPr>
    <w:rPr>
      <w:rFonts w:ascii="Microsoft JhengHei" w:hAnsi="Microsoft JhengHei" w:eastAsia="Microsoft JhengHei" w:cs="Microsoft JhengHei"/>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iPriority w:val="0"/>
    <w:pPr>
      <w:spacing w:after="120"/>
    </w:pPr>
  </w:style>
  <w:style w:type="paragraph" w:styleId="4">
    <w:name w:val="Body Text Indent"/>
    <w:basedOn w:val="1"/>
    <w:next w:val="5"/>
    <w:qFormat/>
    <w:uiPriority w:val="0"/>
    <w:pPr>
      <w:spacing w:after="120"/>
      <w:ind w:left="420" w:leftChars="200"/>
    </w:pPr>
  </w:style>
  <w:style w:type="paragraph" w:styleId="5">
    <w:name w:val="Body Text First Indent 2"/>
    <w:basedOn w:val="4"/>
    <w:next w:val="1"/>
    <w:qFormat/>
    <w:uiPriority w:val="0"/>
    <w:pPr>
      <w:ind w:firstLine="420" w:firstLineChars="200"/>
    </w:pPr>
  </w:style>
  <w:style w:type="paragraph" w:styleId="6">
    <w:name w:val="footer"/>
    <w:basedOn w:val="1"/>
    <w:link w:val="13"/>
    <w:uiPriority w:val="0"/>
    <w:pPr>
      <w:tabs>
        <w:tab w:val="center" w:pos="4153"/>
        <w:tab w:val="right" w:pos="8306"/>
      </w:tabs>
      <w:snapToGrid w:val="0"/>
      <w:jc w:val="left"/>
    </w:pPr>
    <w:rPr>
      <w:sz w:val="18"/>
      <w:szCs w:val="18"/>
    </w:rPr>
  </w:style>
  <w:style w:type="paragraph" w:styleId="7">
    <w:name w:val="header"/>
    <w:basedOn w:val="1"/>
    <w:link w:val="12"/>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1级"/>
    <w:basedOn w:val="1"/>
    <w:qFormat/>
    <w:uiPriority w:val="0"/>
    <w:pPr>
      <w:spacing w:line="360" w:lineRule="auto"/>
      <w:outlineLvl w:val="0"/>
    </w:pPr>
    <w:rPr>
      <w:rFonts w:ascii="仿宋" w:hAnsi="仿宋" w:eastAsia="仿宋"/>
      <w:b/>
      <w:sz w:val="32"/>
      <w:szCs w:val="32"/>
    </w:rPr>
  </w:style>
  <w:style w:type="character" w:customStyle="1" w:styleId="12">
    <w:name w:val="页眉 Char"/>
    <w:basedOn w:val="10"/>
    <w:link w:val="7"/>
    <w:uiPriority w:val="0"/>
    <w:rPr>
      <w:rFonts w:ascii="Calibri" w:hAnsi="Calibri"/>
      <w:kern w:val="2"/>
      <w:sz w:val="18"/>
      <w:szCs w:val="18"/>
    </w:rPr>
  </w:style>
  <w:style w:type="character" w:customStyle="1" w:styleId="13">
    <w:name w:val="页脚 Char"/>
    <w:basedOn w:val="10"/>
    <w:link w:val="6"/>
    <w:uiPriority w:val="0"/>
    <w:rPr>
      <w:rFonts w:ascii="Calibri" w:hAnsi="Calibri"/>
      <w:kern w:val="2"/>
      <w:sz w:val="18"/>
      <w:szCs w:val="18"/>
    </w:rPr>
  </w:style>
  <w:style w:type="character" w:customStyle="1" w:styleId="14">
    <w:name w:val="正文文本 Char"/>
    <w:basedOn w:val="10"/>
    <w:link w:val="3"/>
    <w:uiPriority w:val="0"/>
    <w:rPr>
      <w:rFonts w:ascii="Calibri" w:hAnsi="Calibri"/>
      <w:kern w:val="2"/>
      <w:sz w:val="21"/>
      <w:szCs w:val="24"/>
    </w:rPr>
  </w:style>
  <w:style w:type="character" w:customStyle="1" w:styleId="15">
    <w:name w:val="标题 1 Char"/>
    <w:basedOn w:val="10"/>
    <w:link w:val="2"/>
    <w:uiPriority w:val="1"/>
    <w:rPr>
      <w:rFonts w:ascii="Microsoft JhengHei" w:hAnsi="Microsoft JhengHei" w:eastAsia="Microsoft JhengHei" w:cs="Microsoft JhengHei"/>
      <w:b/>
      <w:bCs/>
      <w:kern w:val="2"/>
      <w:sz w:val="32"/>
      <w:szCs w:val="32"/>
    </w:rPr>
  </w:style>
  <w:style w:type="paragraph" w:styleId="16">
    <w:name w:val="List Paragraph"/>
    <w:basedOn w:val="1"/>
    <w:qFormat/>
    <w:uiPriority w:val="1"/>
    <w:pPr>
      <w:ind w:left="166" w:firstLine="640"/>
    </w:pPr>
    <w:rPr>
      <w:rFonts w:ascii="宋体" w:hAnsi="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324</Words>
  <Characters>1852</Characters>
  <Lines>15</Lines>
  <Paragraphs>4</Paragraphs>
  <TotalTime>73</TotalTime>
  <ScaleCrop>false</ScaleCrop>
  <LinksUpToDate>false</LinksUpToDate>
  <CharactersWithSpaces>2172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2023-10-16T03:24:00Z</dcterms:created>
  <dc:creator>KEN_ON</dc:creator>
  <cp:lastModifiedBy>HOO_小捷</cp:lastModifiedBy>
  <cp:lastPrinted>2023-10-30T06:49:00Z</cp:lastPrinted>
  <dcterms:modified xsi:type="dcterms:W3CDTF">2023-12-11T06:30:11Z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2F7C46EA652E4743A8FDCFAC615748F3_13</vt:lpwstr>
  </property>
</Properties>
</file>