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bookmarkStart w:id="0" w:name="OLE_LINK1"/>
      <w:r>
        <w:rPr>
          <w:rFonts w:hint="eastAsia" w:ascii="宋体" w:hAnsi="宋体" w:cs="仿宋"/>
          <w:color w:val="FF0000"/>
          <w:w w:val="80"/>
          <w:sz w:val="84"/>
          <w:szCs w:val="84"/>
        </w:rPr>
        <w:t>南 昌 大 学 部 门 函 件</w:t>
      </w:r>
    </w:p>
    <w:p>
      <w:pPr>
        <w:tabs>
          <w:tab w:val="left" w:pos="180"/>
        </w:tabs>
        <w:spacing w:line="240" w:lineRule="atLeast"/>
        <w:jc w:val="center"/>
        <w:rPr>
          <w:sz w:val="28"/>
          <w:szCs w:val="28"/>
          <w:u w:val="thick"/>
        </w:rPr>
      </w:pPr>
      <w:r>
        <w:rPr>
          <w:szCs w:val="20"/>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183515</wp:posOffset>
                </wp:positionV>
                <wp:extent cx="5615940" cy="10160"/>
                <wp:effectExtent l="0" t="635" r="10160" b="14605"/>
                <wp:wrapNone/>
                <wp:docPr id="6" name="直线 3"/>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ln>
                        <a:effectLst/>
                      </wps:spPr>
                      <wps:bodyPr/>
                    </wps:wsp>
                  </a:graphicData>
                </a:graphic>
              </wp:anchor>
            </w:drawing>
          </mc:Choice>
          <mc:Fallback>
            <w:pict>
              <v:line id="直线 3" o:spid="_x0000_s1026" o:spt="20" style="position:absolute;left:0pt;flip:y;margin-left:6.35pt;margin-top:14.45pt;height:0.8pt;width:442.2pt;z-index:251659264;mso-width-relative:page;mso-height-relative:page;" filled="f" stroked="t" coordsize="21600,21600" o:gfxdata="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ggV/V&#10;AAAACAEAAA8AAAAAAAAAAQAgAAAAIgAAAGRycy9kb3ducmV2LnhtbFBLAQIUABQAAAAIAIdO4kDB&#10;mW0w6gEAAL4DAAAOAAAAAAAAAAEAIAAAACQBAABkcnMvZTJvRG9jLnhtbFBLBQYAAAAABgAGAFkB&#10;AACABQAAAAA=&#10;">
                <v:fill on="f" focussize="0,0"/>
                <v:stroke weight="2pt" color="#FF0000" joinstyle="round"/>
                <v:imagedata o:title=""/>
                <o:lock v:ext="edit" aspectratio="f"/>
              </v:line>
            </w:pict>
          </mc:Fallback>
        </mc:AlternateContent>
      </w:r>
      <w:r>
        <w:rPr>
          <w:szCs w:val="20"/>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241300</wp:posOffset>
                </wp:positionV>
                <wp:extent cx="5615940" cy="8890"/>
                <wp:effectExtent l="0" t="4445" r="10160" b="5715"/>
                <wp:wrapNone/>
                <wp:docPr id="5"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ln>
                        <a:effectLst/>
                      </wps:spPr>
                      <wps:bodyPr/>
                    </wps:wsp>
                  </a:graphicData>
                </a:graphic>
              </wp:anchor>
            </w:drawing>
          </mc:Choice>
          <mc:Fallback>
            <w:pict>
              <v:line id="直线 4" o:spid="_x0000_s1026" o:spt="20" style="position:absolute;left:0pt;flip:y;margin-left:7.45pt;margin-top:19pt;height:0.7pt;width:442.2pt;z-index:251660288;mso-width-relative:page;mso-height-relative:page;" filled="f" stroked="t" coordsize="21600,21600" o:gfxdata="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tpd&#10;1wAAAAgBAAAPAAAAAAAAAAEAIAAAACIAAABkcnMvZG93bnJldi54bWxQSwECFAAUAAAACACHTuJA&#10;tU5Dv+kBAAC8AwAADgAAAAAAAAABACAAAAAmAQAAZHJzL2Uyb0RvYy54bWxQSwUGAAAAAAYABgBZ&#10;AQAAgQUAAAAA&#10;">
                <v:fill on="f" focussize="0,0"/>
                <v:stroke color="#FF0000" joinstyle="round"/>
                <v:imagedata o:title=""/>
                <o:lock v:ext="edit" aspectratio="f"/>
              </v:line>
            </w:pict>
          </mc:Fallback>
        </mc:AlternateContent>
      </w:r>
    </w:p>
    <w:p>
      <w:pPr>
        <w:spacing w:line="560" w:lineRule="exact"/>
        <w:ind w:firstLine="425" w:firstLineChars="133"/>
        <w:jc w:val="right"/>
        <w:rPr>
          <w:rFonts w:ascii="FangSong_GB2312" w:hAnsi="宋体" w:eastAsia="FangSong_GB2312"/>
          <w:sz w:val="32"/>
          <w:szCs w:val="32"/>
        </w:rPr>
      </w:pPr>
      <w:r>
        <w:rPr>
          <w:rFonts w:hint="eastAsia" w:ascii="FangSong_GB2312" w:hAnsi="宋体" w:eastAsia="FangSong_GB2312"/>
          <w:sz w:val="32"/>
          <w:szCs w:val="32"/>
        </w:rPr>
        <w:t>南大旅游函〔2023〕18号</w:t>
      </w:r>
      <w:bookmarkEnd w:id="0"/>
    </w:p>
    <w:p>
      <w:pPr>
        <w:jc w:val="center"/>
        <w:rPr>
          <w:rFonts w:hint="eastAsia" w:cs="黑体" w:asciiTheme="majorEastAsia" w:hAnsiTheme="majorEastAsia" w:eastAsiaTheme="majorEastAsia"/>
          <w:b/>
          <w:sz w:val="36"/>
          <w:szCs w:val="36"/>
        </w:rPr>
      </w:pPr>
      <w:r>
        <w:rPr>
          <w:rFonts w:hint="eastAsia" w:cs="黑体" w:asciiTheme="majorEastAsia" w:hAnsiTheme="majorEastAsia" w:eastAsiaTheme="majorEastAsia"/>
          <w:b/>
          <w:sz w:val="36"/>
          <w:szCs w:val="36"/>
        </w:rPr>
        <w:t>关于印发《南昌大学旅游学院本科教育教学审核评估</w:t>
      </w:r>
    </w:p>
    <w:p>
      <w:pPr>
        <w:jc w:val="center"/>
        <w:rPr>
          <w:rFonts w:ascii="黑体" w:hAnsi="黑体" w:eastAsia="黑体" w:cs="黑体"/>
          <w:spacing w:val="-2"/>
          <w:sz w:val="32"/>
          <w:szCs w:val="32"/>
        </w:rPr>
      </w:pPr>
      <w:bookmarkStart w:id="25" w:name="_GoBack"/>
      <w:bookmarkEnd w:id="25"/>
      <w:r>
        <w:rPr>
          <w:rFonts w:hint="eastAsia" w:cs="黑体" w:asciiTheme="majorEastAsia" w:hAnsiTheme="majorEastAsia" w:eastAsiaTheme="majorEastAsia"/>
          <w:b/>
          <w:sz w:val="36"/>
          <w:szCs w:val="36"/>
        </w:rPr>
        <w:t>评建工作方案》的通知</w:t>
      </w:r>
    </w:p>
    <w:p>
      <w:pPr>
        <w:spacing w:line="500" w:lineRule="atLeast"/>
        <w:jc w:val="center"/>
        <w:rPr>
          <w:rFonts w:cs="黑体" w:asciiTheme="majorEastAsia" w:hAnsiTheme="majorEastAsia" w:eastAsiaTheme="majorEastAsia"/>
          <w:b/>
          <w:sz w:val="44"/>
          <w:szCs w:val="44"/>
        </w:rPr>
      </w:pPr>
    </w:p>
    <w:p>
      <w:pPr>
        <w:spacing w:line="560" w:lineRule="exact"/>
        <w:jc w:val="left"/>
        <w:rPr>
          <w:rFonts w:ascii="FangSong_GB2312" w:hAnsi="宋体" w:eastAsia="FangSong_GB2312"/>
          <w:sz w:val="32"/>
          <w:szCs w:val="32"/>
        </w:rPr>
      </w:pPr>
      <w:r>
        <w:rPr>
          <w:rFonts w:hint="eastAsia" w:ascii="FangSong_GB2312" w:hAnsi="宋体" w:eastAsia="FangSong_GB2312"/>
          <w:sz w:val="32"/>
          <w:szCs w:val="32"/>
        </w:rPr>
        <w:t>院内各部门：</w:t>
      </w:r>
    </w:p>
    <w:p>
      <w:pPr>
        <w:jc w:val="left"/>
        <w:rPr>
          <w:rFonts w:ascii="黑体" w:hAnsi="黑体" w:eastAsia="黑体" w:cs="黑体"/>
          <w:spacing w:val="-2"/>
          <w:sz w:val="32"/>
          <w:szCs w:val="32"/>
        </w:rPr>
      </w:pPr>
      <w:r>
        <w:rPr>
          <w:rFonts w:hint="eastAsia" w:ascii="FangSong_GB2312" w:hAnsi="宋体" w:eastAsia="FangSong_GB2312"/>
          <w:sz w:val="32"/>
          <w:szCs w:val="32"/>
        </w:rPr>
        <w:t xml:space="preserve">    《南昌大学旅游学院本科教育教学审核评估评建工作方案》经2023学院第34次党政联席会（2023年11月13日）审议并原则通过，现予以印发，请遵照执行。</w:t>
      </w:r>
    </w:p>
    <w:p>
      <w:pPr>
        <w:spacing w:line="560" w:lineRule="exact"/>
        <w:ind w:firstLine="640"/>
        <w:rPr>
          <w:rFonts w:ascii="FangSong_GB2312" w:hAnsi="宋体" w:eastAsia="FangSong_GB2312"/>
          <w:sz w:val="32"/>
          <w:szCs w:val="32"/>
        </w:rPr>
      </w:pPr>
    </w:p>
    <w:p>
      <w:pPr>
        <w:spacing w:line="560" w:lineRule="exact"/>
        <w:ind w:firstLine="640"/>
        <w:rPr>
          <w:rFonts w:ascii="FangSong_GB2312" w:hAnsi="宋体" w:eastAsia="FangSong_GB2312"/>
          <w:sz w:val="32"/>
          <w:szCs w:val="32"/>
        </w:rPr>
      </w:pPr>
    </w:p>
    <w:p>
      <w:pPr>
        <w:spacing w:line="560" w:lineRule="exact"/>
        <w:ind w:firstLine="640"/>
        <w:rPr>
          <w:rFonts w:ascii="FangSong_GB2312" w:hAnsi="宋体" w:eastAsia="FangSong_GB2312"/>
          <w:sz w:val="32"/>
          <w:szCs w:val="32"/>
        </w:rPr>
      </w:pPr>
      <w:r>
        <w:rPr>
          <w:rFonts w:hint="eastAsia" w:ascii="FangSong_GB2312" w:hAnsi="宋体" w:eastAsia="FangSong_GB2312"/>
          <w:sz w:val="32"/>
          <w:szCs w:val="32"/>
        </w:rPr>
        <w:t xml:space="preserve">                           南昌大学旅游学院</w:t>
      </w:r>
    </w:p>
    <w:p>
      <w:pPr>
        <w:spacing w:line="560" w:lineRule="exact"/>
        <w:ind w:firstLine="640"/>
        <w:rPr>
          <w:rFonts w:ascii="FangSong_GB2312" w:hAnsi="宋体" w:eastAsia="FangSong_GB2312"/>
          <w:sz w:val="32"/>
          <w:szCs w:val="32"/>
        </w:rPr>
      </w:pPr>
      <w:r>
        <w:rPr>
          <w:rFonts w:hint="eastAsia" w:ascii="FangSong_GB2312" w:hAnsi="宋体" w:eastAsia="FangSong_GB2312"/>
          <w:sz w:val="32"/>
          <w:szCs w:val="32"/>
        </w:rPr>
        <w:t xml:space="preserve">                            2023年11月 15日</w:t>
      </w:r>
    </w:p>
    <w:p>
      <w:pPr>
        <w:widowControl/>
        <w:shd w:val="clear" w:color="auto" w:fill="FFFFFF"/>
        <w:spacing w:line="560" w:lineRule="exact"/>
        <w:jc w:val="center"/>
        <w:rPr>
          <w:rFonts w:ascii="FangSong_GB2312" w:hAnsi="宋体" w:eastAsia="FangSong_GB2312"/>
          <w:sz w:val="32"/>
          <w:szCs w:val="32"/>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jc w:val="center"/>
        <w:rPr>
          <w:rFonts w:ascii="黑体" w:hAnsi="黑体" w:eastAsia="黑体" w:cs="黑体"/>
          <w:spacing w:val="-2"/>
          <w:sz w:val="32"/>
          <w:szCs w:val="32"/>
        </w:rPr>
      </w:pPr>
      <w:r>
        <w:rPr>
          <w:rFonts w:hint="eastAsia" w:ascii="黑体" w:hAnsi="黑体" w:eastAsia="黑体" w:cs="黑体"/>
          <w:spacing w:val="-2"/>
          <w:sz w:val="32"/>
          <w:szCs w:val="32"/>
        </w:rPr>
        <w:t>旅游学院本科教育教学审核评估评建工作方案</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根据国务院教育督导办《关于做好“十四五”期间普通高等学校本科教育教学审核评估工作的通知》（国教督办函〔2022〕 36 号）、江西省教育厅《关于做好我省“十四五”期间普通高等学校本科教育教学审核评估工作的通知》（赣教督字〔2022〕5号）和《南昌大学本科教育教学审核评估评建工作方案》（南大校发〔2023〕43 号）等文件要求和工作安排，旅游学院为明确审核评估的目标和任务，切实做好评建改工作，特制定本方案。</w:t>
      </w:r>
    </w:p>
    <w:p>
      <w:pPr>
        <w:pStyle w:val="3"/>
        <w:autoSpaceDE w:val="0"/>
        <w:autoSpaceDN w:val="0"/>
        <w:spacing w:after="0" w:line="560" w:lineRule="exact"/>
        <w:ind w:right="-57" w:firstLine="64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一、指导思想</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以习近平新时代中国特色社会主义思想为指导，全面贯彻党的二十大精神和党的教育方针，坚持为党育人、为国育才，坚持教育为人民服务、为中国共产党治国理政服务、为巩固和发展中国特色社会主义制度服务、为改革开放和社会主义现代化建设服务。以建设“江西底色、中国特色”世界一流大学的宏伟目标为引领，协调推进教育、科技、人才建设，着力促进内涵、特色、创新发展，确保人才培养中心地位和本科教育教学核心地位。以评促建、以评促改、以评促管、以评促强，全面落实立德树人根本任务，强化自主人才培养体系和本科教育教学质量保障体系建设，积极构建“自觉、自省、自律、自查、自纠”的质量文化，培养“德智体美劳”全面发展的社会主义建设者和接班人。</w:t>
      </w:r>
    </w:p>
    <w:p>
      <w:pPr>
        <w:pStyle w:val="3"/>
        <w:autoSpaceDE w:val="0"/>
        <w:autoSpaceDN w:val="0"/>
        <w:spacing w:after="0" w:line="560" w:lineRule="exact"/>
        <w:ind w:right="-57" w:firstLine="64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二、工作目标</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1" w:name="（一）筑牢根基，着力落实立德树人根本任务"/>
      <w:bookmarkEnd w:id="1"/>
      <w:r>
        <w:rPr>
          <w:rFonts w:hint="eastAsia" w:ascii="仿宋_GB2312" w:hAnsi="仿宋" w:eastAsia="仿宋_GB2312" w:cs="仿宋"/>
          <w:kern w:val="0"/>
          <w:sz w:val="32"/>
          <w:szCs w:val="32"/>
        </w:rPr>
        <w:t>（一）筑牢根基，着力落实立德树人根本任务</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巩固立德树人根本任务，健全立德树人落实机制，构建“三全育人”格局；突出“以本为本”“四个回归”，强化人才培养中心地位、教育教学基础地位、本科教学优先地位；贯彻 OBE理念，着力提升人才培养目标的达成度、社会需求的适应度、师资和条件的保障度、质量保障运行的有效度以及学生和用人单位的满意度；深化教育教学综合改革和创新实践，提升教育教学水平，建立健全具有旅游学院的本科教育教学质量保障体系，培养一流拔尖创新人才。</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2" w:name="（二）持续改进，逐步提升本科教育教学治理能力"/>
      <w:bookmarkEnd w:id="2"/>
      <w:r>
        <w:rPr>
          <w:rFonts w:hint="eastAsia" w:ascii="仿宋_GB2312" w:hAnsi="仿宋" w:eastAsia="仿宋_GB2312" w:cs="仿宋"/>
          <w:kern w:val="0"/>
          <w:sz w:val="32"/>
          <w:szCs w:val="32"/>
        </w:rPr>
        <w:t>（二）持续改进，逐步提升本科教育教学治理能力</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3" w:name="全面梳理与本科教育教学现代治理体系和治理能力不相适应的管理机制，建立健全具有“南"/>
      <w:bookmarkEnd w:id="3"/>
      <w:r>
        <w:rPr>
          <w:rFonts w:hint="eastAsia" w:ascii="仿宋_GB2312" w:hAnsi="仿宋" w:eastAsia="仿宋_GB2312" w:cs="仿宋"/>
          <w:kern w:val="0"/>
          <w:sz w:val="32"/>
          <w:szCs w:val="32"/>
        </w:rPr>
        <w:t>全面梳理与本科教育教学现代治理体系和治理能力不相适应的管理机制，建立健全具有“南大特色”的本科教育教学现代治理体系，持续提升治理能力，助力学校实现“做示范、勇争先、创一流”的建设目标。</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4" w:name="（三）以评促强，建立健全高质量人才培养体系"/>
      <w:bookmarkEnd w:id="4"/>
      <w:r>
        <w:rPr>
          <w:rFonts w:hint="eastAsia" w:ascii="仿宋_GB2312" w:hAnsi="仿宋" w:eastAsia="仿宋_GB2312" w:cs="仿宋"/>
          <w:kern w:val="0"/>
          <w:sz w:val="32"/>
          <w:szCs w:val="32"/>
        </w:rPr>
        <w:t>（三）以评促强，建立健全高质量人才培养体系</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全面梳理与我院“提高人才自主培养质量、培养拔尖创新人才”不相适应的专业设置体系、课程教材体系、实习实践体系、教师队伍体系、创新创业教育体系以及条件保障体系等，建立健全高质量人才培养体系，助力“江西底色、中国特色、世界一流”大学建设目标的早日实现。</w:t>
      </w:r>
    </w:p>
    <w:p>
      <w:pPr>
        <w:pStyle w:val="3"/>
        <w:autoSpaceDE w:val="0"/>
        <w:autoSpaceDN w:val="0"/>
        <w:spacing w:after="0" w:line="560" w:lineRule="exact"/>
        <w:ind w:right="-57"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三、基本原则</w:t>
      </w:r>
    </w:p>
    <w:p>
      <w:pPr>
        <w:pStyle w:val="3"/>
        <w:autoSpaceDE w:val="0"/>
        <w:autoSpaceDN w:val="0"/>
        <w:spacing w:after="0" w:line="560" w:lineRule="exact"/>
        <w:ind w:right="-57" w:firstLine="640" w:firstLineChars="200"/>
        <w:jc w:val="left"/>
        <w:rPr>
          <w:rFonts w:ascii="仿宋_GB2312" w:hAnsi="仿宋" w:eastAsia="仿宋_GB2312" w:cs="仿宋"/>
          <w:kern w:val="0"/>
          <w:sz w:val="32"/>
          <w:szCs w:val="32"/>
        </w:rPr>
      </w:pPr>
      <w:bookmarkStart w:id="5" w:name="（一）坚持正确方向与立德树人"/>
      <w:bookmarkEnd w:id="5"/>
      <w:r>
        <w:rPr>
          <w:rFonts w:hint="eastAsia" w:ascii="仿宋_GB2312" w:hAnsi="仿宋" w:eastAsia="仿宋_GB2312" w:cs="仿宋"/>
          <w:kern w:val="0"/>
          <w:sz w:val="32"/>
          <w:szCs w:val="32"/>
        </w:rPr>
        <w:t>（一）坚持正确方向与立德树人</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把牢社会主义正确办学方向，落实本科人才培养底线要求；坚持党的全面领导，以立德树人成效为检验一切工作的根本标准，完善人才自主培养体系；坚持以学生为中心，狠抓师德师风 “第一责任”，完善“三全育人”格局。</w:t>
      </w:r>
    </w:p>
    <w:p>
      <w:pPr>
        <w:pStyle w:val="3"/>
        <w:autoSpaceDE w:val="0"/>
        <w:autoSpaceDN w:val="0"/>
        <w:spacing w:after="0" w:line="560" w:lineRule="exact"/>
        <w:ind w:right="-57" w:firstLine="640" w:firstLineChars="200"/>
        <w:jc w:val="left"/>
        <w:rPr>
          <w:rFonts w:ascii="仿宋_GB2312" w:hAnsi="仿宋" w:eastAsia="仿宋_GB2312" w:cs="仿宋"/>
          <w:kern w:val="0"/>
          <w:sz w:val="32"/>
          <w:szCs w:val="32"/>
        </w:rPr>
      </w:pPr>
      <w:bookmarkStart w:id="6" w:name="（二）坚持推进改革与创新发展"/>
      <w:bookmarkEnd w:id="6"/>
      <w:r>
        <w:rPr>
          <w:rFonts w:hint="eastAsia" w:ascii="仿宋_GB2312" w:hAnsi="仿宋" w:eastAsia="仿宋_GB2312" w:cs="仿宋"/>
          <w:kern w:val="0"/>
          <w:sz w:val="32"/>
          <w:szCs w:val="32"/>
        </w:rPr>
        <w:t>（二）坚持推进改革与创新发展</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紧扣本科教育教学综合改革主线，落实“以本为本”“四个回归”，坚持 OBE 理念，以评估理念引领改革、以评估举措落实改革、以评估标准检验改革，实现高质量的特色发展、创新发展。</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7" w:name="（三）坚持目标导向与问题导向"/>
      <w:bookmarkEnd w:id="7"/>
      <w:r>
        <w:rPr>
          <w:rFonts w:hint="eastAsia" w:ascii="仿宋_GB2312" w:hAnsi="仿宋" w:eastAsia="仿宋_GB2312" w:cs="仿宋"/>
          <w:kern w:val="0"/>
          <w:sz w:val="32"/>
          <w:szCs w:val="32"/>
        </w:rPr>
        <w:t>（三）坚持目标导向与问题导向</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坚持以目标为着眼点，统筹谋划、顶层设计，提出工作举措及时间表、路线图，促进目标达成；以问题为着力点，找准存在的问题或短板，建立“问题清单”，在补短板、强弱项上下功夫，提升质量保障能力。</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8" w:name="（四）坚持实事求是与持续改进"/>
      <w:bookmarkEnd w:id="8"/>
      <w:r>
        <w:rPr>
          <w:rFonts w:hint="eastAsia" w:ascii="仿宋_GB2312" w:hAnsi="仿宋" w:eastAsia="仿宋_GB2312" w:cs="仿宋"/>
          <w:kern w:val="0"/>
          <w:sz w:val="32"/>
          <w:szCs w:val="32"/>
        </w:rPr>
        <w:t>（四）坚持实事求是与持续改进</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树立正确的评估价值取向，以“平常心、正常态”对待评估，不回避问题、不弄虚作假、不夸大成绩，注重数据和事实证据的真实性、有效性和充分性；注重持续改进长效机制的形成，增强全员质量意识、建设具有南大特色的“五自”质量文化。</w:t>
      </w:r>
    </w:p>
    <w:p>
      <w:pPr>
        <w:pStyle w:val="3"/>
        <w:autoSpaceDE w:val="0"/>
        <w:autoSpaceDN w:val="0"/>
        <w:spacing w:after="0" w:line="560" w:lineRule="exact"/>
        <w:ind w:right="-57" w:firstLine="64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四、评估内容与核心任务</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9" w:name="（一）评估内容"/>
      <w:bookmarkEnd w:id="9"/>
      <w:r>
        <w:rPr>
          <w:rFonts w:hint="eastAsia" w:ascii="仿宋_GB2312" w:hAnsi="仿宋" w:eastAsia="仿宋_GB2312" w:cs="仿宋"/>
          <w:kern w:val="0"/>
          <w:sz w:val="32"/>
          <w:szCs w:val="32"/>
        </w:rPr>
        <w:t>（一）评估内容</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重点考察党的领导、质量保障能力、教育教学水平和综合改革四个方面。评估指标包含定性和定量指标。</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（二）核心任务</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10" w:name="1.填报教育教学基本状态数据"/>
      <w:bookmarkEnd w:id="10"/>
      <w:r>
        <w:rPr>
          <w:rFonts w:hint="eastAsia" w:ascii="仿宋_GB2312" w:hAnsi="仿宋" w:eastAsia="仿宋_GB2312" w:cs="仿宋"/>
          <w:kern w:val="0"/>
          <w:sz w:val="32"/>
          <w:szCs w:val="32"/>
        </w:rPr>
        <w:t>1、填报教学基本状态数据</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高等教育质量监测国家数据平台是采集学校教育教学基本状态数据的数据库系统，是学校自评自建、自评报告撰写、线上评估的主要依据，也是专家查证评估的重要基础。保证数据的真实性、完整性、可靠性和一致性，并根据学校要求在规定时间内及时填报和上传数据。</w:t>
      </w:r>
    </w:p>
    <w:p>
      <w:pPr>
        <w:pStyle w:val="3"/>
        <w:autoSpaceDE w:val="0"/>
        <w:autoSpaceDN w:val="0"/>
        <w:spacing w:after="0" w:line="560" w:lineRule="exact"/>
        <w:ind w:right="-57" w:firstLine="640"/>
        <w:jc w:val="left"/>
        <w:rPr>
          <w:rFonts w:ascii="仿宋_GB2312" w:hAnsi="仿宋" w:eastAsia="仿宋_GB2312" w:cs="仿宋"/>
          <w:kern w:val="0"/>
          <w:sz w:val="32"/>
          <w:szCs w:val="32"/>
        </w:rPr>
      </w:pPr>
      <w:bookmarkStart w:id="11" w:name="3.梳理评估工作材料"/>
      <w:bookmarkEnd w:id="11"/>
      <w:bookmarkStart w:id="12" w:name="2.开展“评、建、改”并撰写《自评报告》"/>
      <w:bookmarkEnd w:id="12"/>
      <w:r>
        <w:rPr>
          <w:rFonts w:hint="eastAsia" w:ascii="仿宋_GB2312" w:hAnsi="仿宋" w:eastAsia="仿宋_GB2312" w:cs="仿宋"/>
          <w:kern w:val="0"/>
          <w:sz w:val="32"/>
          <w:szCs w:val="32"/>
        </w:rPr>
        <w:t>2、梳理评估工作材料</w:t>
      </w:r>
    </w:p>
    <w:p>
      <w:pPr>
        <w:pStyle w:val="3"/>
        <w:autoSpaceDE w:val="0"/>
        <w:autoSpaceDN w:val="0"/>
        <w:spacing w:after="0" w:line="560" w:lineRule="exact"/>
        <w:ind w:right="-57"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评估工作材料包括四个方面：教学档案、支撑材料、线上评估材料和专家入校考察材料。教学档案是学校在教学管理、教学实践活动中形成的基本材料，是学校日常教育教学工作的“证据”，包括培养方案、课程大纲、试卷、毕业论文（设计）、实习实践记录等过程性与终结性材料等；支撑材料是佐证自评报告所述内容的证据性材料，包括管理文件、教学资料、学生学习档案、各类记录性材料和合作协议等；配合专家线上和线下开展审核评估</w:t>
      </w:r>
      <w:bookmarkStart w:id="13" w:name="5.制定整改方案与撰写整改报告"/>
      <w:bookmarkEnd w:id="13"/>
      <w:r>
        <w:rPr>
          <w:rFonts w:hint="eastAsia" w:ascii="仿宋_GB2312" w:hAnsi="仿宋" w:eastAsia="仿宋_GB2312" w:cs="仿宋"/>
          <w:kern w:val="0"/>
          <w:sz w:val="32"/>
          <w:szCs w:val="32"/>
        </w:rPr>
        <w:t>，自建查摆的问题，深刻分析原因、提出针对性解决问题的举措，并以问题清单为主线、以整改措施为主体制定方案。</w:t>
      </w:r>
      <w:bookmarkStart w:id="14" w:name="（2）开展整改并提交《审核评估整改报告》。根据整改方案严格开展整改；全面总结评估"/>
      <w:bookmarkEnd w:id="14"/>
      <w:r>
        <w:rPr>
          <w:rFonts w:hint="eastAsia" w:ascii="仿宋_GB2312" w:hAnsi="仿宋" w:eastAsia="仿宋_GB2312" w:cs="仿宋"/>
          <w:kern w:val="0"/>
          <w:sz w:val="32"/>
          <w:szCs w:val="32"/>
        </w:rPr>
        <w:t>开展整改并提交《审核评估整改报告》。根据整改方案严格开展整改；全面总结评估整改工作完成情况，包括整改工作的组织、主要整改措施、整改目标达成、整改成效评价，以及整改工作经验、不足等。</w:t>
      </w:r>
    </w:p>
    <w:p>
      <w:pPr>
        <w:pStyle w:val="3"/>
        <w:numPr>
          <w:ilvl w:val="0"/>
          <w:numId w:val="1"/>
        </w:numPr>
        <w:autoSpaceDE w:val="0"/>
        <w:autoSpaceDN w:val="0"/>
        <w:spacing w:after="0" w:line="560" w:lineRule="exact"/>
        <w:ind w:left="166" w:right="-57" w:firstLine="640"/>
        <w:jc w:val="left"/>
        <w:rPr>
          <w:rFonts w:ascii="仿宋_GB2312" w:hAnsi="仿宋" w:eastAsia="仿宋_GB2312" w:cs="仿宋"/>
          <w:b/>
          <w:kern w:val="0"/>
          <w:sz w:val="32"/>
          <w:szCs w:val="32"/>
        </w:rPr>
      </w:pPr>
      <w:bookmarkStart w:id="15" w:name="五、组织机构及评建任务"/>
      <w:bookmarkEnd w:id="15"/>
      <w:r>
        <w:rPr>
          <w:rFonts w:hint="eastAsia" w:ascii="仿宋_GB2312" w:hAnsi="仿宋" w:eastAsia="仿宋_GB2312" w:cs="仿宋"/>
          <w:b/>
          <w:kern w:val="0"/>
          <w:sz w:val="32"/>
          <w:szCs w:val="32"/>
        </w:rPr>
        <w:t>组织机构</w:t>
      </w:r>
    </w:p>
    <w:p>
      <w:pPr>
        <w:pStyle w:val="3"/>
        <w:autoSpaceDE w:val="0"/>
        <w:autoSpaceDN w:val="0"/>
        <w:spacing w:after="0" w:line="560" w:lineRule="exact"/>
        <w:ind w:right="-57"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根据工作需要，旅游学院成立本科教育教学审核评估领导小组和工作小组。如下：</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（一）领导小组</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组长：刘尧飞、陈洪玮</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成员：何琳、杨征、王佳 </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（二）工作小组</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组长：杨征</w:t>
      </w:r>
    </w:p>
    <w:p>
      <w:pPr>
        <w:pStyle w:val="3"/>
        <w:autoSpaceDE w:val="0"/>
        <w:autoSpaceDN w:val="0"/>
        <w:spacing w:after="0" w:line="560" w:lineRule="exact"/>
        <w:ind w:right="-57"/>
        <w:jc w:val="left"/>
        <w:rPr>
          <w:rFonts w:ascii="仿宋_GB2312" w:hAnsi="仿宋" w:eastAsia="仿宋_GB2312" w:cs="仿宋"/>
          <w:kern w:val="0"/>
          <w:sz w:val="32"/>
          <w:szCs w:val="32"/>
        </w:rPr>
      </w:pPr>
      <w:r>
        <w:rPr>
          <w:rFonts w:hint="eastAsia" w:ascii="仿宋_GB2312" w:hAnsi="仿宋" w:eastAsia="仿宋_GB2312" w:cs="仿宋"/>
          <w:kern w:val="0"/>
          <w:sz w:val="32"/>
          <w:szCs w:val="32"/>
        </w:rPr>
        <w:t>成员：胡兵、纪小美、许庆勇、王文辉、江耀、赵荷花、陈泓文、李宽柏、曹根、李丽琴、刘玮晴、周盼盼、胡亚捷、程烈、陈佳林。</w:t>
      </w:r>
    </w:p>
    <w:p>
      <w:pPr>
        <w:pStyle w:val="2"/>
        <w:spacing w:line="560" w:lineRule="exact"/>
        <w:ind w:left="0" w:right="-57" w:firstLine="643" w:firstLineChars="200"/>
        <w:rPr>
          <w:rFonts w:ascii="仿宋_GB2312" w:hAnsi="仿宋" w:eastAsia="仿宋_GB2312" w:cs="仿宋"/>
          <w:bCs w:val="0"/>
          <w:kern w:val="0"/>
        </w:rPr>
      </w:pPr>
      <w:r>
        <w:rPr>
          <w:rFonts w:hint="eastAsia" w:ascii="仿宋_GB2312" w:hAnsi="仿宋" w:eastAsia="仿宋_GB2312" w:cs="仿宋"/>
          <w:bCs w:val="0"/>
          <w:kern w:val="0"/>
        </w:rPr>
        <w:t>六、工作进程及主要工作</w:t>
      </w:r>
    </w:p>
    <w:p>
      <w:pPr>
        <w:pStyle w:val="2"/>
        <w:spacing w:line="560" w:lineRule="exact"/>
        <w:ind w:left="0" w:right="-57" w:firstLine="320" w:firstLineChars="100"/>
        <w:rPr>
          <w:rFonts w:ascii="仿宋_GB2312" w:hAnsi="仿宋" w:eastAsia="仿宋_GB2312" w:cs="仿宋"/>
          <w:b w:val="0"/>
          <w:bCs w:val="0"/>
          <w:kern w:val="0"/>
        </w:rPr>
      </w:pPr>
      <w:bookmarkStart w:id="16" w:name="（二）自查自建（2023年9月—2023年12月）"/>
      <w:bookmarkEnd w:id="16"/>
      <w:bookmarkStart w:id="17" w:name="（一）学习宣传（2023年7月—2023年8月）"/>
      <w:bookmarkEnd w:id="17"/>
      <w:r>
        <w:rPr>
          <w:rFonts w:hint="eastAsia" w:ascii="仿宋_GB2312" w:hAnsi="仿宋" w:eastAsia="仿宋_GB2312" w:cs="仿宋"/>
          <w:b w:val="0"/>
          <w:bCs w:val="0"/>
          <w:kern w:val="0"/>
        </w:rPr>
        <w:t>（一）自查自建（2023年 9月—2023年 12月）</w:t>
      </w:r>
    </w:p>
    <w:p>
      <w:pPr>
        <w:pStyle w:val="16"/>
        <w:tabs>
          <w:tab w:val="left" w:pos="1125"/>
        </w:tabs>
        <w:spacing w:line="560" w:lineRule="exact"/>
        <w:ind w:left="0" w:right="-57"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1、组织召开审核评估评建工作专题会议；</w:t>
      </w:r>
    </w:p>
    <w:p>
      <w:pPr>
        <w:pStyle w:val="16"/>
        <w:tabs>
          <w:tab w:val="left" w:pos="1125"/>
        </w:tabs>
        <w:spacing w:line="560" w:lineRule="exact"/>
        <w:ind w:left="0" w:right="-57"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2、按要求制定学院工作方案；</w:t>
      </w:r>
    </w:p>
    <w:p>
      <w:pPr>
        <w:pStyle w:val="16"/>
        <w:tabs>
          <w:tab w:val="left" w:pos="1124"/>
        </w:tabs>
        <w:spacing w:line="560" w:lineRule="exact"/>
        <w:ind w:left="0" w:right="-57"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3、按一级指标、二级指标、审核重点逐级自查，查找自身缺项与弱点，查漏补缺，进行针对性建设；</w:t>
      </w:r>
    </w:p>
    <w:p>
      <w:pPr>
        <w:pStyle w:val="16"/>
        <w:tabs>
          <w:tab w:val="left" w:pos="1284"/>
        </w:tabs>
        <w:spacing w:line="560" w:lineRule="exact"/>
        <w:ind w:left="0" w:right="-57"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4、开展专业、课程、实习实训基地、实验室和近两年毕业论文（设计）、期末考试试卷评估等专项自评，在充分总结经验、特色和查摆问题的基础上，形成相关自评报告。</w:t>
      </w:r>
    </w:p>
    <w:p>
      <w:pPr>
        <w:pStyle w:val="2"/>
        <w:spacing w:line="560" w:lineRule="exact"/>
        <w:ind w:left="0" w:right="-57" w:firstLine="640" w:firstLineChars="200"/>
        <w:rPr>
          <w:rFonts w:ascii="仿宋_GB2312" w:hAnsi="仿宋" w:eastAsia="仿宋_GB2312" w:cs="仿宋"/>
          <w:b w:val="0"/>
          <w:bCs w:val="0"/>
          <w:kern w:val="0"/>
        </w:rPr>
      </w:pPr>
      <w:bookmarkStart w:id="18" w:name="（三）自评提高（2024年1月—2024年3月）"/>
      <w:bookmarkEnd w:id="18"/>
      <w:r>
        <w:rPr>
          <w:rFonts w:hint="eastAsia" w:ascii="仿宋_GB2312" w:hAnsi="仿宋" w:eastAsia="仿宋_GB2312" w:cs="仿宋"/>
          <w:b w:val="0"/>
          <w:bCs w:val="0"/>
          <w:kern w:val="0"/>
        </w:rPr>
        <w:t>（二）自评提高（2024年 1月—2024年 3月）</w:t>
      </w:r>
    </w:p>
    <w:p>
      <w:pPr>
        <w:pStyle w:val="16"/>
        <w:tabs>
          <w:tab w:val="left" w:pos="1125"/>
        </w:tabs>
        <w:spacing w:line="560" w:lineRule="exact"/>
        <w:ind w:left="0" w:right="-57"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1、完善数据的更新、填报等工作；</w:t>
      </w:r>
    </w:p>
    <w:p>
      <w:pPr>
        <w:pStyle w:val="16"/>
        <w:tabs>
          <w:tab w:val="left" w:pos="1124"/>
        </w:tabs>
        <w:spacing w:line="560" w:lineRule="exact"/>
        <w:ind w:left="0" w:right="-57"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2、评估领导小组全面检查评估工作，查缺补漏，针对性整改；</w:t>
      </w:r>
    </w:p>
    <w:p>
      <w:pPr>
        <w:pStyle w:val="16"/>
        <w:tabs>
          <w:tab w:val="left" w:pos="1124"/>
        </w:tabs>
        <w:spacing w:line="560" w:lineRule="exact"/>
        <w:ind w:left="0" w:right="-57"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3、丰富和审定相关支撑材料、充实并完善线上评估材料和专家入校考察材料，建立、完善支撑材料数据库等；</w:t>
      </w:r>
    </w:p>
    <w:p>
      <w:pPr>
        <w:spacing w:line="560" w:lineRule="exact"/>
        <w:ind w:left="807" w:right="-57"/>
        <w:jc w:val="left"/>
        <w:rPr>
          <w:rFonts w:hint="eastAsia" w:ascii="仿宋_GB2312" w:hAnsi="仿宋" w:eastAsia="仿宋_GB2312" w:cs="仿宋"/>
          <w:kern w:val="0"/>
          <w:sz w:val="32"/>
          <w:szCs w:val="32"/>
        </w:rPr>
      </w:pPr>
      <w:bookmarkStart w:id="19" w:name="（四）专家评估（2024年，具体时间待定）"/>
      <w:bookmarkEnd w:id="19"/>
      <w:r>
        <w:rPr>
          <w:rFonts w:hint="eastAsia" w:ascii="仿宋_GB2312" w:hAnsi="仿宋" w:eastAsia="仿宋_GB2312" w:cs="仿宋"/>
          <w:kern w:val="0"/>
          <w:sz w:val="32"/>
          <w:szCs w:val="32"/>
        </w:rPr>
        <w:t>（三）专家评估（具体时间待定）</w:t>
      </w:r>
      <w:bookmarkStart w:id="20" w:name="1.制定评估接待方案"/>
      <w:bookmarkEnd w:id="20"/>
      <w:bookmarkStart w:id="21" w:name="（五）限期整改（2024年—2026年）"/>
      <w:bookmarkEnd w:id="21"/>
    </w:p>
    <w:p>
      <w:pPr>
        <w:pStyle w:val="2"/>
        <w:spacing w:line="560" w:lineRule="exact"/>
        <w:ind w:right="-57"/>
        <w:rPr>
          <w:rFonts w:hint="eastAsia" w:ascii="仿宋_GB2312" w:hAnsi="仿宋" w:eastAsia="仿宋_GB2312" w:cs="仿宋"/>
          <w:b w:val="0"/>
          <w:bCs w:val="0"/>
          <w:kern w:val="0"/>
        </w:rPr>
      </w:pPr>
      <w:r>
        <w:rPr>
          <w:rFonts w:hint="eastAsia" w:ascii="仿宋_GB2312" w:hAnsi="仿宋" w:eastAsia="仿宋_GB2312" w:cs="仿宋"/>
          <w:b w:val="0"/>
          <w:bCs w:val="0"/>
          <w:kern w:val="0"/>
        </w:rPr>
        <w:t>（四）限期整改（2024年—2026年</w:t>
      </w:r>
      <w:bookmarkStart w:id="22" w:name="3.认真总结，撰写整改报告"/>
      <w:bookmarkEnd w:id="22"/>
      <w:bookmarkStart w:id="23" w:name="1.梳理问题，分析根源，制定整改工作方案"/>
      <w:bookmarkEnd w:id="23"/>
      <w:bookmarkStart w:id="24" w:name="七、工作要求"/>
      <w:bookmarkEnd w:id="24"/>
      <w:r>
        <w:rPr>
          <w:rFonts w:hint="eastAsia" w:ascii="仿宋_GB2312" w:hAnsi="仿宋" w:eastAsia="仿宋_GB2312" w:cs="仿宋"/>
          <w:b w:val="0"/>
          <w:bCs w:val="0"/>
          <w:kern w:val="0"/>
        </w:rPr>
        <w:t>)</w:t>
      </w:r>
    </w:p>
    <w:tbl>
      <w:tblPr>
        <w:tblStyle w:val="8"/>
        <w:tblpPr w:leftFromText="180" w:rightFromText="180" w:vertAnchor="text" w:horzAnchor="margin" w:tblpXSpec="right" w:tblpY="585"/>
        <w:tblW w:w="887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886"/>
        <w:gridCol w:w="398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trHeight w:val="556" w:hRule="atLeast"/>
        </w:trPr>
        <w:tc>
          <w:tcPr>
            <w:tcW w:w="4886" w:type="dxa"/>
            <w:tcBorders>
              <w:top w:val="single" w:color="auto" w:sz="4" w:space="0"/>
              <w:bottom w:val="single" w:color="auto" w:sz="12" w:space="0"/>
              <w:right w:val="nil"/>
            </w:tcBorders>
          </w:tcPr>
          <w:p>
            <w:pPr>
              <w:jc w:val="left"/>
              <w:rPr>
                <w:rFonts w:ascii="仿宋" w:hAnsi="仿宋" w:eastAsia="仿宋"/>
                <w:sz w:val="32"/>
                <w:szCs w:val="32"/>
                <w:lang w:val="zh-CN"/>
              </w:rPr>
            </w:pPr>
            <w:r>
              <w:rPr>
                <w:rFonts w:hint="eastAsia" w:ascii="仿宋" w:hAnsi="仿宋" w:eastAsia="仿宋"/>
                <w:sz w:val="32"/>
                <w:szCs w:val="32"/>
                <w:lang w:val="zh-CN"/>
              </w:rPr>
              <w:t>南昌大学旅游学院办公室</w:t>
            </w:r>
          </w:p>
        </w:tc>
        <w:tc>
          <w:tcPr>
            <w:tcW w:w="3986" w:type="dxa"/>
            <w:tcBorders>
              <w:top w:val="single" w:color="auto" w:sz="4" w:space="0"/>
              <w:left w:val="nil"/>
              <w:bottom w:val="single" w:color="auto" w:sz="12" w:space="0"/>
            </w:tcBorders>
          </w:tcPr>
          <w:p>
            <w:pPr>
              <w:wordWrap w:val="0"/>
              <w:jc w:val="right"/>
              <w:rPr>
                <w:rFonts w:ascii="仿宋" w:hAnsi="仿宋" w:eastAsia="仿宋"/>
                <w:sz w:val="32"/>
                <w:szCs w:val="32"/>
                <w:lang w:val="zh-CN"/>
              </w:rPr>
            </w:pPr>
            <w:r>
              <w:rPr>
                <w:rFonts w:ascii="仿宋" w:hAnsi="仿宋" w:eastAsia="仿宋"/>
                <w:sz w:val="32"/>
                <w:szCs w:val="32"/>
                <w:lang w:val="zh-CN"/>
              </w:rPr>
              <w:t>20</w:t>
            </w:r>
            <w:r>
              <w:rPr>
                <w:rFonts w:hint="eastAsia" w:ascii="仿宋" w:hAnsi="仿宋" w:eastAsia="仿宋"/>
                <w:sz w:val="32"/>
                <w:szCs w:val="32"/>
              </w:rPr>
              <w:t>23</w:t>
            </w:r>
            <w:r>
              <w:rPr>
                <w:rFonts w:hint="eastAsia" w:ascii="仿宋" w:hAnsi="仿宋" w:eastAsia="仿宋"/>
                <w:sz w:val="32"/>
                <w:szCs w:val="32"/>
                <w:lang w:val="zh-CN"/>
              </w:rPr>
              <w:t>年</w:t>
            </w:r>
            <w:r>
              <w:rPr>
                <w:rFonts w:hint="eastAsia" w:ascii="仿宋" w:hAnsi="仿宋" w:eastAsia="仿宋"/>
                <w:sz w:val="32"/>
                <w:szCs w:val="32"/>
              </w:rPr>
              <w:t>11</w:t>
            </w:r>
            <w:r>
              <w:rPr>
                <w:rFonts w:hint="eastAsia" w:ascii="仿宋" w:hAnsi="仿宋" w:eastAsia="仿宋"/>
                <w:sz w:val="32"/>
                <w:szCs w:val="32"/>
                <w:lang w:val="zh-CN"/>
              </w:rPr>
              <w:t>月</w:t>
            </w:r>
            <w:r>
              <w:rPr>
                <w:rFonts w:hint="eastAsia" w:ascii="仿宋" w:hAnsi="仿宋" w:eastAsia="仿宋"/>
                <w:sz w:val="32"/>
                <w:szCs w:val="32"/>
              </w:rPr>
              <w:t>15</w:t>
            </w:r>
            <w:r>
              <w:rPr>
                <w:rFonts w:hint="eastAsia" w:ascii="仿宋" w:hAnsi="仿宋" w:eastAsia="仿宋"/>
                <w:sz w:val="32"/>
                <w:szCs w:val="32"/>
                <w:lang w:val="zh-CN"/>
              </w:rPr>
              <w:t>日印发</w:t>
            </w:r>
          </w:p>
        </w:tc>
      </w:tr>
    </w:tbl>
    <w:p>
      <w:pPr>
        <w:widowControl/>
        <w:spacing w:line="560" w:lineRule="exact"/>
        <w:rPr>
          <w:rFonts w:ascii="仿宋" w:hAnsi="仿宋" w:eastAsia="仿宋" w:cs="仿宋"/>
          <w:sz w:val="32"/>
          <w:szCs w:val="32"/>
        </w:rPr>
      </w:pP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090D1"/>
    <w:multiLevelType w:val="singleLevel"/>
    <w:tmpl w:val="E05090D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14382964"/>
    <w:rsid w:val="000A7760"/>
    <w:rsid w:val="001864EF"/>
    <w:rsid w:val="0035712D"/>
    <w:rsid w:val="003E462F"/>
    <w:rsid w:val="004E1FA6"/>
    <w:rsid w:val="006413D0"/>
    <w:rsid w:val="00687066"/>
    <w:rsid w:val="006D46EE"/>
    <w:rsid w:val="00737C58"/>
    <w:rsid w:val="00776CAF"/>
    <w:rsid w:val="00AB54EF"/>
    <w:rsid w:val="00B65D6F"/>
    <w:rsid w:val="00B91BD9"/>
    <w:rsid w:val="00CC4B9D"/>
    <w:rsid w:val="00D45ADF"/>
    <w:rsid w:val="00F12DE8"/>
    <w:rsid w:val="031A4E25"/>
    <w:rsid w:val="08CB4341"/>
    <w:rsid w:val="09D354AA"/>
    <w:rsid w:val="0C441772"/>
    <w:rsid w:val="13C219C0"/>
    <w:rsid w:val="14382964"/>
    <w:rsid w:val="15B92761"/>
    <w:rsid w:val="16C65851"/>
    <w:rsid w:val="1DE92761"/>
    <w:rsid w:val="269543A0"/>
    <w:rsid w:val="28F526F5"/>
    <w:rsid w:val="297D524A"/>
    <w:rsid w:val="29AB1EDF"/>
    <w:rsid w:val="2D6C2E27"/>
    <w:rsid w:val="43B6493C"/>
    <w:rsid w:val="49002B12"/>
    <w:rsid w:val="49D96973"/>
    <w:rsid w:val="50B151B2"/>
    <w:rsid w:val="575246AC"/>
    <w:rsid w:val="58060A3B"/>
    <w:rsid w:val="5C7A1BCF"/>
    <w:rsid w:val="61AD71D5"/>
    <w:rsid w:val="72C50FCD"/>
    <w:rsid w:val="78037E32"/>
    <w:rsid w:val="7A585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5"/>
    <w:qFormat/>
    <w:uiPriority w:val="1"/>
    <w:pPr>
      <w:spacing w:line="574" w:lineRule="exact"/>
      <w:ind w:left="807"/>
      <w:outlineLvl w:val="0"/>
    </w:pPr>
    <w:rPr>
      <w:rFonts w:ascii="Microsoft JhengHei" w:hAnsi="Microsoft JhengHei" w:eastAsia="Microsoft JhengHei" w:cs="Microsoft JhengHe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iPriority w:val="0"/>
    <w:pPr>
      <w:spacing w:after="120"/>
    </w:p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firstLine="420" w:firstLineChars="20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1级"/>
    <w:basedOn w:val="1"/>
    <w:qFormat/>
    <w:uiPriority w:val="0"/>
    <w:pPr>
      <w:spacing w:line="360" w:lineRule="auto"/>
      <w:outlineLvl w:val="0"/>
    </w:pPr>
    <w:rPr>
      <w:rFonts w:ascii="仿宋" w:hAnsi="仿宋" w:eastAsia="仿宋"/>
      <w:b/>
      <w:sz w:val="32"/>
      <w:szCs w:val="32"/>
    </w:rPr>
  </w:style>
  <w:style w:type="character" w:customStyle="1" w:styleId="12">
    <w:name w:val="页眉 Char"/>
    <w:basedOn w:val="10"/>
    <w:link w:val="7"/>
    <w:uiPriority w:val="0"/>
    <w:rPr>
      <w:rFonts w:ascii="Calibri" w:hAnsi="Calibri"/>
      <w:kern w:val="2"/>
      <w:sz w:val="18"/>
      <w:szCs w:val="18"/>
    </w:rPr>
  </w:style>
  <w:style w:type="character" w:customStyle="1" w:styleId="13">
    <w:name w:val="页脚 Char"/>
    <w:basedOn w:val="10"/>
    <w:link w:val="6"/>
    <w:uiPriority w:val="0"/>
    <w:rPr>
      <w:rFonts w:ascii="Calibri" w:hAnsi="Calibri"/>
      <w:kern w:val="2"/>
      <w:sz w:val="18"/>
      <w:szCs w:val="18"/>
    </w:rPr>
  </w:style>
  <w:style w:type="character" w:customStyle="1" w:styleId="14">
    <w:name w:val="正文文本 Char"/>
    <w:basedOn w:val="10"/>
    <w:link w:val="3"/>
    <w:uiPriority w:val="0"/>
    <w:rPr>
      <w:rFonts w:ascii="Calibri" w:hAnsi="Calibri"/>
      <w:kern w:val="2"/>
      <w:sz w:val="21"/>
      <w:szCs w:val="24"/>
    </w:rPr>
  </w:style>
  <w:style w:type="character" w:customStyle="1" w:styleId="15">
    <w:name w:val="标题 1 Char"/>
    <w:basedOn w:val="10"/>
    <w:link w:val="2"/>
    <w:qFormat/>
    <w:uiPriority w:val="1"/>
    <w:rPr>
      <w:rFonts w:ascii="Microsoft JhengHei" w:hAnsi="Microsoft JhengHei" w:eastAsia="Microsoft JhengHei" w:cs="Microsoft JhengHei"/>
      <w:b/>
      <w:bCs/>
      <w:kern w:val="2"/>
      <w:sz w:val="32"/>
      <w:szCs w:val="32"/>
    </w:rPr>
  </w:style>
  <w:style w:type="paragraph" w:styleId="16">
    <w:name w:val="List Paragraph"/>
    <w:basedOn w:val="1"/>
    <w:qFormat/>
    <w:uiPriority w:val="1"/>
    <w:pPr>
      <w:ind w:left="166" w:firstLine="640"/>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421</Words>
  <Characters>2404</Characters>
  <Lines>20</Lines>
  <Paragraphs>5</Paragraphs>
  <TotalTime>69</TotalTime>
  <ScaleCrop>false</ScaleCrop>
  <LinksUpToDate>false</LinksUpToDate>
  <CharactersWithSpaces>2820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2023-10-16T03:24:00Z</dcterms:created>
  <dc:creator>KEN_ON</dc:creator>
  <cp:lastModifiedBy>HOO_小捷</cp:lastModifiedBy>
  <cp:lastPrinted>2023-10-30T06:49:00Z</cp:lastPrinted>
  <dcterms:modified xsi:type="dcterms:W3CDTF">2023-11-16T06:25:06Z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D2880CC3D21349EEA8BB2B43D829305B_13</vt:lpwstr>
  </property>
</Properties>
</file>