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w:pict>
          <v:line id="直线 4" o:spid="_x0000_s2050" o:spt="20" style="position:absolute;left:0pt;flip:y;margin-left:0pt;margin-top:25.4pt;height:0.7pt;width:442.2pt;z-index:251659264;mso-width-relative:page;mso-height-relative:page;" stroked="t" coordsize="21600,21600">
            <v:path arrowok="t"/>
            <v:fill focussize="0,0"/>
            <v:stroke color="#FF0000"/>
            <v:imagedata o:title=""/>
            <o:lock v:ext="edit"/>
          </v:line>
        </w:pict>
      </w:r>
      <w:r>
        <w:pict>
          <v:line id="_x0000_s2051" o:spid="_x0000_s2051" o:spt="20" style="position:absolute;left:0pt;flip:y;margin-left:0pt;margin-top:21pt;height:0.8pt;width:442.2pt;z-index:251660288;mso-width-relative:page;mso-height-relative:page;" stroked="t" coordsize="21600,21600">
            <v:path arrowok="t"/>
            <v:fill focussize="0,0"/>
            <v:stroke weight="2pt" color="#FF0000"/>
            <v:imagedata o:title=""/>
            <o:lock v:ext="edit"/>
          </v:line>
        </w:pict>
      </w:r>
    </w:p>
    <w:p>
      <w:pPr>
        <w:ind w:right="160" w:firstLine="2871" w:firstLineChars="650"/>
        <w:jc w:val="right"/>
        <w:textAlignment w:val="baseline"/>
        <w:rPr>
          <w:b/>
          <w:bCs/>
          <w:sz w:val="44"/>
          <w:szCs w:val="44"/>
        </w:rPr>
      </w:pPr>
      <w:r>
        <w:rPr>
          <w:rFonts w:hint="eastAsia"/>
          <w:b/>
          <w:bCs/>
          <w:sz w:val="44"/>
          <w:szCs w:val="44"/>
        </w:rPr>
        <w:t>南大旅院函〔2021〕16号</w:t>
      </w:r>
    </w:p>
    <w:p>
      <w:pPr>
        <w:textAlignment w:val="baseline"/>
        <w:rPr>
          <w:rFonts w:ascii="黑体" w:hAnsi="黑体" w:eastAsia="黑体" w:cs="黑体"/>
          <w:sz w:val="44"/>
          <w:szCs w:val="44"/>
        </w:rPr>
      </w:pPr>
    </w:p>
    <w:p>
      <w:pPr>
        <w:spacing w:beforeLines="350"/>
        <w:jc w:val="center"/>
        <w:rPr>
          <w:b/>
          <w:sz w:val="40"/>
          <w:szCs w:val="40"/>
        </w:rPr>
      </w:pPr>
      <w:r>
        <w:rPr>
          <w:rFonts w:hint="eastAsia"/>
          <w:b/>
          <w:sz w:val="40"/>
          <w:szCs w:val="40"/>
        </w:rPr>
        <w:t>关于印发《旅游学院2021年夏季学期实施方案》的通知</w:t>
      </w:r>
    </w:p>
    <w:p>
      <w:pPr>
        <w:spacing w:line="560" w:lineRule="exact"/>
        <w:jc w:val="center"/>
        <w:textAlignment w:val="baseline"/>
        <w:rPr>
          <w:rFonts w:ascii="宋体" w:hAnsi="宋体" w:cs="宋体"/>
          <w:b/>
          <w:kern w:val="0"/>
          <w:sz w:val="40"/>
          <w:szCs w:val="40"/>
        </w:rPr>
      </w:pPr>
    </w:p>
    <w:p>
      <w:pPr>
        <w:spacing w:line="560" w:lineRule="exact"/>
        <w:textAlignment w:val="baseline"/>
        <w:rPr>
          <w:rFonts w:ascii="宋体" w:hAnsi="宋体"/>
          <w:b/>
          <w:kern w:val="0"/>
          <w:sz w:val="40"/>
          <w:szCs w:val="40"/>
        </w:rPr>
      </w:pPr>
      <w:r>
        <w:rPr>
          <w:rFonts w:hint="eastAsia" w:ascii="宋体" w:hAnsi="宋体"/>
          <w:b/>
          <w:kern w:val="0"/>
          <w:sz w:val="40"/>
          <w:szCs w:val="40"/>
        </w:rPr>
        <w:t>院内各单位：</w:t>
      </w:r>
    </w:p>
    <w:p>
      <w:pPr>
        <w:spacing w:line="560" w:lineRule="exact"/>
        <w:jc w:val="left"/>
        <w:rPr>
          <w:rFonts w:ascii="仿宋_GB2312" w:eastAsia="仿宋_GB2312"/>
          <w:sz w:val="32"/>
          <w:szCs w:val="32"/>
        </w:rPr>
      </w:pPr>
      <w:r>
        <w:rPr>
          <w:rFonts w:hint="eastAsia" w:ascii="仿宋_GB2312" w:eastAsia="仿宋_GB2312"/>
          <w:sz w:val="32"/>
          <w:szCs w:val="32"/>
        </w:rPr>
        <w:t xml:space="preserve">    经2021年6月28日学院党政联席会议审议，审议并通过了《旅游学院2021年夏季学期实施方案》，现予以印发。</w:t>
      </w:r>
    </w:p>
    <w:p>
      <w:pPr>
        <w:spacing w:line="560" w:lineRule="exact"/>
        <w:textAlignment w:val="baseline"/>
        <w:rPr>
          <w:rFonts w:ascii="仿宋_GB2312" w:hAnsi="宋体" w:eastAsia="仿宋_GB2312"/>
          <w:sz w:val="32"/>
          <w:szCs w:val="32"/>
        </w:rPr>
      </w:pPr>
      <w:r>
        <w:rPr>
          <w:rFonts w:hint="eastAsia" w:ascii="仿宋_GB2312" w:hAnsi="宋体" w:eastAsia="仿宋_GB2312"/>
          <w:sz w:val="32"/>
          <w:szCs w:val="32"/>
        </w:rPr>
        <w:t xml:space="preserve">    特此通知。</w:t>
      </w:r>
    </w:p>
    <w:p>
      <w:pPr>
        <w:spacing w:line="560" w:lineRule="exact"/>
        <w:textAlignment w:val="baseline"/>
        <w:rPr>
          <w:rFonts w:ascii="仿宋_GB2312" w:hAnsi="宋体" w:eastAsia="仿宋_GB2312"/>
          <w:sz w:val="32"/>
          <w:szCs w:val="32"/>
        </w:rPr>
      </w:pPr>
      <w:r>
        <w:rPr>
          <w:rFonts w:ascii="仿宋_GB2312" w:hAnsi="宋体" w:eastAsia="仿宋_GB2312"/>
          <w:sz w:val="32"/>
          <w:szCs w:val="32"/>
        </w:rPr>
        <w:t xml:space="preserve"> </w:t>
      </w: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firstLine="2080" w:firstLineChars="650"/>
        <w:jc w:val="right"/>
        <w:textAlignment w:val="baseline"/>
        <w:rPr>
          <w:rFonts w:ascii="仿宋_GB2312" w:hAnsi="宋体" w:eastAsia="仿宋_GB2312"/>
          <w:sz w:val="32"/>
          <w:szCs w:val="32"/>
        </w:rPr>
      </w:pPr>
      <w:r>
        <w:rPr>
          <w:rFonts w:hint="eastAsia" w:ascii="仿宋_GB2312" w:hAnsi="宋体" w:eastAsia="仿宋_GB2312"/>
          <w:sz w:val="32"/>
          <w:szCs w:val="32"/>
        </w:rPr>
        <w:t>南昌大学旅游学院</w:t>
      </w:r>
    </w:p>
    <w:p>
      <w:pPr>
        <w:spacing w:line="560" w:lineRule="exact"/>
        <w:ind w:right="160" w:firstLine="2080" w:firstLineChars="650"/>
        <w:jc w:val="left"/>
        <w:textAlignment w:val="baseline"/>
        <w:rPr>
          <w:rFonts w:ascii="仿宋_GB2312" w:hAnsi="宋体" w:eastAsia="仿宋_GB2312"/>
          <w:sz w:val="32"/>
          <w:szCs w:val="32"/>
        </w:rPr>
      </w:pPr>
      <w:r>
        <w:rPr>
          <w:rFonts w:hint="eastAsia" w:ascii="仿宋_GB2312" w:hAnsi="宋体" w:eastAsia="仿宋_GB2312"/>
          <w:sz w:val="32"/>
          <w:szCs w:val="32"/>
        </w:rPr>
        <w:t xml:space="preserve">                      2021年6月30日</w:t>
      </w:r>
    </w:p>
    <w:p>
      <w:pPr>
        <w:textAlignment w:val="baseline"/>
        <w:rPr>
          <w:sz w:val="20"/>
        </w:rPr>
      </w:pPr>
    </w:p>
    <w:p>
      <w:pPr>
        <w:textAlignment w:val="baseline"/>
        <w:rPr>
          <w:sz w:val="20"/>
        </w:rPr>
      </w:pPr>
    </w:p>
    <w:p>
      <w:pPr>
        <w:spacing w:beforeLines="350"/>
        <w:jc w:val="center"/>
        <w:rPr>
          <w:rFonts w:ascii="华文新魏" w:eastAsia="华文新魏"/>
          <w:b/>
          <w:bCs/>
          <w:sz w:val="44"/>
          <w:szCs w:val="44"/>
        </w:rPr>
      </w:pPr>
      <w:r>
        <w:rPr>
          <w:rFonts w:hint="eastAsia" w:ascii="华文新魏" w:eastAsia="华文新魏"/>
          <w:b/>
          <w:bCs/>
          <w:sz w:val="44"/>
          <w:szCs w:val="44"/>
        </w:rPr>
        <w:t>旅游学院2021年夏季学期实施方案</w:t>
      </w:r>
    </w:p>
    <w:p>
      <w:pPr>
        <w:widowControl/>
        <w:spacing w:line="560" w:lineRule="exact"/>
        <w:jc w:val="left"/>
        <w:rPr>
          <w:rFonts w:ascii="仿宋_GB2312" w:eastAsia="仿宋_GB2312"/>
          <w:sz w:val="32"/>
          <w:szCs w:val="32"/>
        </w:rPr>
      </w:pPr>
      <w:r>
        <w:rPr>
          <w:rFonts w:hint="eastAsia" w:asciiTheme="majorEastAsia" w:hAnsiTheme="majorEastAsia" w:eastAsiaTheme="majorEastAsia" w:cstheme="majorEastAsia"/>
          <w:color w:val="000000"/>
          <w:kern w:val="0"/>
          <w:sz w:val="28"/>
          <w:szCs w:val="28"/>
        </w:rPr>
        <w:t xml:space="preserve">   </w:t>
      </w:r>
      <w:r>
        <w:rPr>
          <w:rFonts w:hint="eastAsia" w:ascii="仿宋_GB2312" w:eastAsia="仿宋_GB2312"/>
          <w:sz w:val="32"/>
          <w:szCs w:val="32"/>
        </w:rPr>
        <w:t xml:space="preserve"> 为进一步深化教育教学改革，提高夏季学期教学质量，根据《南昌大学关于加强夏季学期教学工作的指导意见》（南大教函〔2021〕66号）文件要求，做好2021-2022学年夏季学期教学工作，有利于旅游学院完善多样化人才培养模式，培养实践能力强、具有创新意识和国际竞争力的高素质复合型人才；</w:t>
      </w:r>
      <w:bookmarkStart w:id="2" w:name="_GoBack"/>
      <w:r>
        <w:rPr>
          <w:rFonts w:hint="eastAsia" w:ascii="仿宋_GB2312" w:eastAsia="仿宋_GB2312"/>
          <w:sz w:val="32"/>
          <w:szCs w:val="32"/>
        </w:rPr>
        <w:t>有利于提高学生在校学</w:t>
      </w:r>
      <w:bookmarkEnd w:id="2"/>
      <w:r>
        <w:rPr>
          <w:rFonts w:hint="eastAsia" w:ascii="仿宋_GB2312" w:eastAsia="仿宋_GB2312"/>
          <w:sz w:val="32"/>
          <w:szCs w:val="32"/>
        </w:rPr>
        <w:t>习时间利用效率，在夏季学期集中安排一些相对灵活的教学活动；有利于学院开展竞赛培训、夏令营、暑期学校等活动，为师生提供更多的时间进行校外及国外学术、学习活动交流等。校外实习、社会实践、境外研修、国内游学、学科竞赛、科研训练、学术交流及专题讲座等多层次、多形式、内容丰富的第三学期实践活动</w:t>
      </w:r>
      <w:r>
        <w:rPr>
          <w:rFonts w:ascii="仿宋_GB2312" w:eastAsia="仿宋_GB2312"/>
          <w:sz w:val="32"/>
          <w:szCs w:val="32"/>
        </w:rPr>
        <w:t>。</w:t>
      </w:r>
    </w:p>
    <w:p>
      <w:pPr>
        <w:spacing w:line="560" w:lineRule="exact"/>
        <w:rPr>
          <w:rFonts w:ascii="仿宋_GB2312" w:eastAsia="仿宋_GB2312"/>
          <w:b/>
          <w:sz w:val="32"/>
          <w:szCs w:val="32"/>
        </w:rPr>
      </w:pPr>
      <w:r>
        <w:rPr>
          <w:rFonts w:hint="eastAsia" w:ascii="仿宋_GB2312" w:eastAsia="仿宋_GB2312"/>
          <w:b/>
          <w:sz w:val="32"/>
          <w:szCs w:val="32"/>
        </w:rPr>
        <w:t xml:space="preserve">    一、组织领导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旅游学院为更好开展暑期教学</w:t>
      </w:r>
      <w:r>
        <w:rPr>
          <w:rFonts w:ascii="仿宋_GB2312" w:eastAsia="仿宋_GB2312"/>
          <w:sz w:val="32"/>
          <w:szCs w:val="32"/>
        </w:rPr>
        <w:t>，</w:t>
      </w:r>
      <w:r>
        <w:rPr>
          <w:rFonts w:hint="eastAsia" w:ascii="仿宋_GB2312" w:eastAsia="仿宋_GB2312"/>
          <w:sz w:val="32"/>
          <w:szCs w:val="32"/>
        </w:rPr>
        <w:t>特成立暑期教学工作小组，全面管理旅游学院暑期本科教学工作。小组人员如下：</w:t>
      </w:r>
    </w:p>
    <w:p>
      <w:pPr>
        <w:pStyle w:val="6"/>
        <w:spacing w:before="0" w:beforeAutospacing="0" w:after="0" w:afterAutospacing="0" w:line="560" w:lineRule="exact"/>
        <w:ind w:left="1" w:firstLine="566" w:firstLineChars="177"/>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组长：旷天伟</w:t>
      </w:r>
    </w:p>
    <w:p>
      <w:pPr>
        <w:pStyle w:val="6"/>
        <w:spacing w:before="0" w:beforeAutospacing="0" w:after="0" w:afterAutospacing="0" w:line="560" w:lineRule="exact"/>
        <w:ind w:left="1" w:firstLine="566" w:firstLineChars="177"/>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副组长：杨征</w:t>
      </w:r>
    </w:p>
    <w:p>
      <w:pPr>
        <w:pStyle w:val="6"/>
        <w:spacing w:before="0" w:beforeAutospacing="0" w:after="0" w:afterAutospacing="0" w:line="560" w:lineRule="exact"/>
        <w:ind w:left="1" w:firstLine="566" w:firstLineChars="177"/>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组员：陈志军、许庆勇、胡兵、李丽琴、邓心怡</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二、安排原则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旅游学院通过修订和调整培养方案，完善和优化课程设置。三学期制改革的核心是充分发挥短学期多元和灵活的优势，优化和丰富课程体系，因此要修订和调整培养方案，完善和优化课程设置。实施三学期制后，如何根据学期的特点，开设不同的课程，需要在学院各个专业的培养方案里体现出来。短学期开设的课程应包括集中性暑期社会实践。为充分发挥三学期制的优势，达到提高人才培养质量的目标，学院首先需要合理规划适应三学期制的人才培养方案，在实践中不断调整课程设置，构建适合三学期制运行的课程体系。</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三、具体内容</w:t>
      </w:r>
    </w:p>
    <w:tbl>
      <w:tblPr>
        <w:tblStyle w:val="8"/>
        <w:tblW w:w="964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1134"/>
        <w:gridCol w:w="2019"/>
        <w:gridCol w:w="1899"/>
        <w:gridCol w:w="1752"/>
        <w:gridCol w:w="1701"/>
        <w:gridCol w:w="5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widowControl/>
              <w:jc w:val="center"/>
              <w:textAlignment w:val="center"/>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kern w:val="0"/>
                <w:szCs w:val="21"/>
              </w:rPr>
              <w:t>序号</w:t>
            </w:r>
          </w:p>
        </w:tc>
        <w:tc>
          <w:tcPr>
            <w:tcW w:w="1134"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教学形式</w:t>
            </w:r>
          </w:p>
        </w:tc>
        <w:tc>
          <w:tcPr>
            <w:tcW w:w="2019"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活动名称</w:t>
            </w:r>
          </w:p>
        </w:tc>
        <w:tc>
          <w:tcPr>
            <w:tcW w:w="1899"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开展时间</w:t>
            </w:r>
          </w:p>
        </w:tc>
        <w:tc>
          <w:tcPr>
            <w:tcW w:w="1752" w:type="dxa"/>
            <w:vAlign w:val="center"/>
          </w:tcPr>
          <w:p>
            <w:pPr>
              <w:widowControl/>
              <w:textAlignment w:val="center"/>
              <w:rPr>
                <w:rFonts w:ascii="宋体" w:hAnsi="宋体" w:cs="宋体"/>
                <w:b/>
                <w:color w:val="000000"/>
                <w:szCs w:val="21"/>
              </w:rPr>
            </w:pPr>
            <w:r>
              <w:rPr>
                <w:rFonts w:hint="eastAsia" w:ascii="宋体" w:hAnsi="宋体" w:cs="宋体"/>
                <w:b/>
                <w:color w:val="000000"/>
                <w:kern w:val="0"/>
                <w:szCs w:val="21"/>
              </w:rPr>
              <w:t>开展地点</w:t>
            </w:r>
          </w:p>
        </w:tc>
        <w:tc>
          <w:tcPr>
            <w:tcW w:w="1701" w:type="dxa"/>
            <w:vAlign w:val="center"/>
          </w:tcPr>
          <w:p>
            <w:pPr>
              <w:widowControl/>
              <w:textAlignment w:val="center"/>
              <w:rPr>
                <w:rFonts w:ascii="宋体" w:hAnsi="宋体" w:cs="宋体"/>
                <w:b/>
                <w:color w:val="000000"/>
                <w:szCs w:val="21"/>
              </w:rPr>
            </w:pPr>
            <w:r>
              <w:rPr>
                <w:rFonts w:hint="eastAsia" w:ascii="宋体" w:hAnsi="宋体" w:cs="宋体"/>
                <w:b/>
                <w:color w:val="000000"/>
                <w:kern w:val="0"/>
                <w:szCs w:val="21"/>
              </w:rPr>
              <w:t>参与专业、班级</w:t>
            </w:r>
          </w:p>
        </w:tc>
        <w:tc>
          <w:tcPr>
            <w:tcW w:w="567" w:type="dxa"/>
            <w:vAlign w:val="center"/>
          </w:tcPr>
          <w:p>
            <w:pPr>
              <w:widowControl/>
              <w:textAlignment w:val="center"/>
              <w:rPr>
                <w:rFonts w:ascii="宋体" w:hAnsi="宋体" w:cs="宋体"/>
                <w:b/>
                <w:color w:val="000000"/>
                <w:szCs w:val="21"/>
              </w:rPr>
            </w:pPr>
            <w:r>
              <w:rPr>
                <w:rFonts w:hint="eastAsia" w:ascii="宋体" w:hAnsi="宋体" w:cs="宋体"/>
                <w:b/>
                <w:color w:val="000000"/>
                <w:szCs w:val="21"/>
              </w:rPr>
              <w:t>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1</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社会实践</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会展认知实习</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9月6号-9月12号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长沙</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会展20</w:t>
            </w:r>
            <w:r>
              <w:rPr>
                <w:rFonts w:ascii="宋体" w:hAnsi="宋体" w:cs="宋体"/>
                <w:color w:val="000000"/>
                <w:kern w:val="0"/>
                <w:sz w:val="20"/>
                <w:szCs w:val="21"/>
              </w:rPr>
              <w:t>2</w:t>
            </w:r>
            <w:r>
              <w:rPr>
                <w:rFonts w:hint="eastAsia" w:ascii="宋体" w:hAnsi="宋体" w:cs="宋体"/>
                <w:color w:val="000000"/>
                <w:kern w:val="0"/>
                <w:sz w:val="20"/>
                <w:szCs w:val="21"/>
              </w:rPr>
              <w:t>班</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2</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社会实践</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地方文化产业发展实践考察</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9月6号-9月12号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长沙</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会展191班</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3</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社会实践</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酒店管理专业实习</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9月6号-9月12号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上海</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酒店管理191班</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4</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学术讲座</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创新创业讲座</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9月6号-9月12号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旅游学院报告厅</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旅游管理、会展</w:t>
            </w:r>
            <w:r>
              <w:rPr>
                <w:rFonts w:ascii="宋体" w:hAnsi="宋体" w:cs="宋体"/>
                <w:color w:val="000000"/>
                <w:sz w:val="20"/>
                <w:szCs w:val="21"/>
              </w:rPr>
              <w:t>20</w:t>
            </w:r>
            <w:r>
              <w:rPr>
                <w:rFonts w:hint="eastAsia" w:ascii="宋体" w:hAnsi="宋体" w:cs="宋体"/>
                <w:color w:val="000000"/>
                <w:sz w:val="20"/>
                <w:szCs w:val="21"/>
              </w:rPr>
              <w:t>级</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5</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学术讲座</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科研入门讲座</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9月6号-9月12号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旅游学院报告厅</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旅游管理、会展</w:t>
            </w:r>
            <w:r>
              <w:rPr>
                <w:rFonts w:ascii="宋体" w:hAnsi="宋体" w:cs="宋体"/>
                <w:color w:val="000000"/>
                <w:sz w:val="20"/>
                <w:szCs w:val="21"/>
              </w:rPr>
              <w:t>20</w:t>
            </w:r>
            <w:r>
              <w:rPr>
                <w:rFonts w:hint="eastAsia" w:ascii="宋体" w:hAnsi="宋体" w:cs="宋体"/>
                <w:color w:val="000000"/>
                <w:sz w:val="20"/>
                <w:szCs w:val="21"/>
              </w:rPr>
              <w:t>级</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6</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社会实践</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旅游规划专业实习（Ⅰ）</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9月13号-9月19号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景德镇、黄山、婺源、三清山</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旅游管理191班</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568" w:type="dxa"/>
            <w:vAlign w:val="center"/>
          </w:tcPr>
          <w:p>
            <w:pPr>
              <w:widowControl/>
              <w:jc w:val="center"/>
              <w:textAlignment w:val="center"/>
              <w:rPr>
                <w:rFonts w:asciiTheme="majorEastAsia" w:hAnsiTheme="majorEastAsia" w:eastAsiaTheme="majorEastAsia" w:cstheme="majorEastAsia"/>
                <w:color w:val="000000"/>
                <w:sz w:val="20"/>
                <w:szCs w:val="21"/>
              </w:rPr>
            </w:pPr>
            <w:r>
              <w:rPr>
                <w:rFonts w:hint="eastAsia" w:asciiTheme="majorEastAsia" w:hAnsiTheme="majorEastAsia" w:eastAsiaTheme="majorEastAsia" w:cstheme="majorEastAsia"/>
                <w:color w:val="000000"/>
                <w:kern w:val="0"/>
                <w:sz w:val="20"/>
                <w:szCs w:val="21"/>
              </w:rPr>
              <w:t>7</w:t>
            </w:r>
          </w:p>
        </w:tc>
        <w:tc>
          <w:tcPr>
            <w:tcW w:w="1134"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rPr>
              <w:t>社会实践</w:t>
            </w:r>
          </w:p>
        </w:tc>
        <w:tc>
          <w:tcPr>
            <w:tcW w:w="2019"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旅游目的地认识实习</w:t>
            </w:r>
          </w:p>
        </w:tc>
        <w:tc>
          <w:tcPr>
            <w:tcW w:w="189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9月13号-9月19号</w:t>
            </w:r>
          </w:p>
        </w:tc>
        <w:tc>
          <w:tcPr>
            <w:tcW w:w="1752"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景德镇、黄山、婺源、三清山</w:t>
            </w:r>
          </w:p>
        </w:tc>
        <w:tc>
          <w:tcPr>
            <w:tcW w:w="1701"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旅游管理201班</w:t>
            </w:r>
          </w:p>
        </w:tc>
        <w:tc>
          <w:tcPr>
            <w:tcW w:w="567" w:type="dxa"/>
            <w:vAlign w:val="center"/>
          </w:tcPr>
          <w:p>
            <w:pPr>
              <w:widowControl/>
              <w:jc w:val="center"/>
              <w:textAlignment w:val="center"/>
              <w:rPr>
                <w:rFonts w:ascii="宋体" w:hAnsi="宋体" w:cs="宋体"/>
                <w:color w:val="000000"/>
                <w:sz w:val="20"/>
                <w:szCs w:val="21"/>
              </w:rPr>
            </w:pPr>
            <w:r>
              <w:rPr>
                <w:rFonts w:hint="eastAsia" w:ascii="宋体" w:hAnsi="宋体" w:cs="宋体"/>
                <w:color w:val="000000"/>
                <w:sz w:val="20"/>
                <w:szCs w:val="21"/>
              </w:rPr>
              <w:t>28</w:t>
            </w:r>
          </w:p>
        </w:tc>
      </w:tr>
    </w:tbl>
    <w:p>
      <w:pPr>
        <w:rPr>
          <w:rFonts w:asciiTheme="majorEastAsia" w:hAnsiTheme="majorEastAsia" w:eastAsiaTheme="majorEastAsia" w:cstheme="majorEastAsia"/>
          <w:sz w:val="28"/>
          <w:szCs w:val="28"/>
        </w:rPr>
      </w:pPr>
    </w:p>
    <w:p>
      <w:pPr>
        <w:numPr>
          <w:ilvl w:val="0"/>
          <w:numId w:val="1"/>
        </w:numPr>
        <w:spacing w:line="560" w:lineRule="exact"/>
        <w:ind w:firstLine="569" w:firstLineChars="177"/>
        <w:rPr>
          <w:rFonts w:ascii="仿宋_GB2312" w:eastAsia="仿宋_GB2312"/>
          <w:b/>
          <w:sz w:val="32"/>
          <w:szCs w:val="32"/>
        </w:rPr>
      </w:pPr>
      <w:r>
        <w:rPr>
          <w:rFonts w:hint="eastAsia" w:ascii="仿宋_GB2312" w:eastAsia="仿宋_GB2312"/>
          <w:b/>
          <w:sz w:val="32"/>
          <w:szCs w:val="32"/>
        </w:rPr>
        <w:t>教学项目实施的主体责任教师与考核评价方式</w:t>
      </w:r>
    </w:p>
    <w:p>
      <w:pPr>
        <w:numPr>
          <w:ilvl w:val="0"/>
          <w:numId w:val="2"/>
        </w:numPr>
        <w:spacing w:line="560" w:lineRule="exact"/>
        <w:ind w:firstLine="566" w:firstLineChars="177"/>
        <w:rPr>
          <w:rFonts w:ascii="仿宋_GB2312" w:eastAsia="仿宋_GB2312"/>
          <w:sz w:val="32"/>
          <w:szCs w:val="32"/>
        </w:rPr>
      </w:pPr>
      <w:r>
        <w:rPr>
          <w:rFonts w:hint="eastAsia" w:ascii="仿宋_GB2312" w:eastAsia="仿宋_GB2312"/>
          <w:sz w:val="32"/>
          <w:szCs w:val="32"/>
        </w:rPr>
        <w:t>主体责任教师：陈志军、许庆勇、胡兵</w:t>
      </w:r>
    </w:p>
    <w:p>
      <w:pPr>
        <w:numPr>
          <w:ilvl w:val="0"/>
          <w:numId w:val="2"/>
        </w:numPr>
        <w:spacing w:line="560" w:lineRule="exact"/>
        <w:ind w:firstLine="566" w:firstLineChars="177"/>
        <w:rPr>
          <w:rFonts w:ascii="仿宋_GB2312" w:eastAsia="仿宋_GB2312"/>
          <w:sz w:val="32"/>
          <w:szCs w:val="32"/>
        </w:rPr>
      </w:pPr>
      <w:r>
        <w:rPr>
          <w:rFonts w:hint="eastAsia" w:ascii="仿宋_GB2312" w:eastAsia="仿宋_GB2312"/>
          <w:sz w:val="32"/>
          <w:szCs w:val="32"/>
        </w:rPr>
        <w:t>考核评价方式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各系可以根据实习的具体情况制定相应的考核和评价标准</w:t>
      </w:r>
      <w:r>
        <w:rPr>
          <w:rFonts w:ascii="仿宋_GB2312" w:eastAsia="仿宋_GB2312"/>
          <w:sz w:val="32"/>
          <w:szCs w:val="32"/>
        </w:rPr>
        <w:t>，</w:t>
      </w:r>
      <w:r>
        <w:rPr>
          <w:rFonts w:hint="eastAsia" w:ascii="仿宋_GB2312" w:eastAsia="仿宋_GB2312"/>
          <w:sz w:val="32"/>
          <w:szCs w:val="32"/>
        </w:rPr>
        <w:t>也可以参考以下评价指标</w:t>
      </w:r>
      <w:r>
        <w:rPr>
          <w:rFonts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理论认识(20%)， 个人思考(35%)， 现实联系(15%)， 结构(15%)，语言(10%)， 格式(5%) 。</w:t>
      </w:r>
    </w:p>
    <w:p>
      <w:pPr>
        <w:spacing w:line="560" w:lineRule="exact"/>
        <w:rPr>
          <w:rFonts w:ascii="仿宋_GB2312" w:eastAsia="仿宋_GB2312"/>
          <w:sz w:val="32"/>
          <w:szCs w:val="32"/>
        </w:rPr>
      </w:pPr>
    </w:p>
    <w:p>
      <w:pPr>
        <w:spacing w:line="560" w:lineRule="exact"/>
        <w:jc w:val="left"/>
        <w:rPr>
          <w:rFonts w:ascii="仿宋_GB2312" w:eastAsia="仿宋_GB2312"/>
          <w:b/>
          <w:sz w:val="32"/>
          <w:szCs w:val="32"/>
        </w:rPr>
      </w:pPr>
      <w:r>
        <w:rPr>
          <w:rFonts w:hint="eastAsia" w:ascii="仿宋_GB2312" w:eastAsia="仿宋_GB2312"/>
          <w:b/>
          <w:sz w:val="32"/>
          <w:szCs w:val="32"/>
        </w:rPr>
        <w:t xml:space="preserve">    五、条件保障措施</w:t>
      </w:r>
    </w:p>
    <w:p>
      <w:pPr>
        <w:spacing w:line="560" w:lineRule="exact"/>
        <w:rPr>
          <w:rFonts w:ascii="仿宋_GB2312" w:eastAsia="仿宋_GB2312"/>
          <w:sz w:val="32"/>
          <w:szCs w:val="32"/>
        </w:rPr>
      </w:pPr>
      <w:r>
        <w:rPr>
          <w:rFonts w:hint="eastAsia" w:ascii="仿宋_GB2312" w:eastAsia="仿宋_GB2312"/>
          <w:sz w:val="32"/>
          <w:szCs w:val="32"/>
        </w:rPr>
        <w:t xml:space="preserve">    （一）成立保障小组</w:t>
      </w:r>
    </w:p>
    <w:p>
      <w:pPr>
        <w:tabs>
          <w:tab w:val="left" w:pos="312"/>
        </w:tabs>
        <w:spacing w:line="560" w:lineRule="exact"/>
        <w:ind w:firstLine="640" w:firstLineChars="200"/>
        <w:rPr>
          <w:rFonts w:ascii="仿宋_GB2312" w:eastAsia="仿宋_GB2312"/>
          <w:sz w:val="32"/>
          <w:szCs w:val="32"/>
        </w:rPr>
      </w:pPr>
      <w:r>
        <w:rPr>
          <w:rFonts w:hint="eastAsia" w:ascii="仿宋_GB2312" w:eastAsia="仿宋_GB2312"/>
          <w:sz w:val="32"/>
          <w:szCs w:val="32"/>
        </w:rPr>
        <w:t>整个教学期间，学生每</w:t>
      </w:r>
      <w:r>
        <w:rPr>
          <w:rFonts w:ascii="仿宋_GB2312" w:eastAsia="仿宋_GB2312"/>
          <w:sz w:val="32"/>
          <w:szCs w:val="32"/>
        </w:rPr>
        <w:t>10</w:t>
      </w:r>
      <w:r>
        <w:rPr>
          <w:rFonts w:hint="eastAsia" w:ascii="仿宋_GB2312" w:eastAsia="仿宋_GB2312"/>
          <w:sz w:val="32"/>
          <w:szCs w:val="32"/>
        </w:rPr>
        <w:t>人一组，由一名老师带队</w:t>
      </w:r>
      <w:r>
        <w:rPr>
          <w:rFonts w:ascii="仿宋_GB2312" w:eastAsia="仿宋_GB2312"/>
          <w:sz w:val="32"/>
          <w:szCs w:val="32"/>
        </w:rPr>
        <w:t>，</w:t>
      </w:r>
      <w:r>
        <w:rPr>
          <w:rFonts w:hint="eastAsia" w:ascii="仿宋_GB2312" w:eastAsia="仿宋_GB2312"/>
          <w:sz w:val="32"/>
          <w:szCs w:val="32"/>
        </w:rPr>
        <w:t>由学生小组长和带队老师负责教学活动过程中的安全保障。如有任何异常情况，小组长应立即上报老师和工作领导小组。</w:t>
      </w:r>
    </w:p>
    <w:p>
      <w:pPr>
        <w:spacing w:line="560" w:lineRule="exact"/>
        <w:rPr>
          <w:rFonts w:ascii="仿宋_GB2312" w:eastAsia="仿宋_GB2312"/>
          <w:sz w:val="32"/>
          <w:szCs w:val="32"/>
        </w:rPr>
      </w:pPr>
      <w:r>
        <w:rPr>
          <w:rFonts w:hint="eastAsia" w:ascii="仿宋_GB2312" w:eastAsia="仿宋_GB2312"/>
          <w:sz w:val="32"/>
          <w:szCs w:val="32"/>
        </w:rPr>
        <w:t xml:space="preserve">    （二）疫情防护要求及应急措施</w:t>
      </w:r>
    </w:p>
    <w:p>
      <w:pPr>
        <w:spacing w:line="560" w:lineRule="exact"/>
        <w:rPr>
          <w:rFonts w:ascii="仿宋_GB2312" w:eastAsia="仿宋_GB2312"/>
          <w:sz w:val="32"/>
          <w:szCs w:val="32"/>
        </w:rPr>
      </w:pPr>
      <w:r>
        <w:rPr>
          <w:rFonts w:hint="eastAsia" w:ascii="仿宋_GB2312" w:eastAsia="仿宋_GB2312"/>
          <w:sz w:val="32"/>
          <w:szCs w:val="32"/>
        </w:rPr>
        <w:t>防护要求：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出行前应密切关注最新公布的全国疫情风险信息，如长沙调整为中、高风险区，应当立即停止此次活动。出行前配备足够数量的口罩、免洗手消毒液、体温枪等防护物品</w:t>
      </w:r>
      <w:r>
        <w:rPr>
          <w:rFonts w:ascii="仿宋_GB2312" w:eastAsia="仿宋_GB2312"/>
          <w:sz w:val="32"/>
          <w:szCs w:val="32"/>
        </w:rPr>
        <w:t>。</w:t>
      </w:r>
    </w:p>
    <w:p>
      <w:pPr>
        <w:tabs>
          <w:tab w:val="left" w:pos="312"/>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出行期间乘坐高铁等交通工具时学生要遵守交通秩序和相关防疫管理要求，全程应正确佩戴口罩。游玩过程中要有序排队，与他人保持安全距离，不聚集，不扎堆，避免人群拥挤，前往密闭或者人流较多的场所时，要佩戴口罩过程，保持良好的卫生习惯，注意咳嗽礼仪，随时做好手卫生。出行期间出现发热、干咳等呼吸症状应及时前往就近医疗机构就诊</w:t>
      </w:r>
      <w:r>
        <w:rPr>
          <w:rFonts w:ascii="仿宋_GB2312" w:eastAsia="仿宋_GB2312"/>
          <w:sz w:val="32"/>
          <w:szCs w:val="32"/>
        </w:rPr>
        <w:t>。</w:t>
      </w:r>
    </w:p>
    <w:p>
      <w:pPr>
        <w:tabs>
          <w:tab w:val="left" w:pos="312"/>
        </w:tabs>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出行返程后健康管理。出行及返校后，做好个人健康监测，应自我观察14天，并按时打卡，一旦出现发热干咳等身体不适，及时上报学校并立即就医</w:t>
      </w:r>
      <w:r>
        <w:rPr>
          <w:rFonts w:ascii="仿宋_GB2312" w:eastAsia="仿宋_GB2312"/>
          <w:sz w:val="32"/>
          <w:szCs w:val="32"/>
        </w:rPr>
        <w:t>。</w:t>
      </w:r>
    </w:p>
    <w:p>
      <w:pPr>
        <w:tabs>
          <w:tab w:val="left" w:pos="312"/>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出行期间，每位学生应填写每日活动轨迹表，小组长做好收集，并做好每日体温测量。</w:t>
      </w:r>
    </w:p>
    <w:p>
      <w:pPr>
        <w:spacing w:line="560" w:lineRule="exact"/>
        <w:rPr>
          <w:rFonts w:ascii="仿宋_GB2312" w:eastAsia="仿宋_GB2312"/>
          <w:sz w:val="32"/>
          <w:szCs w:val="32"/>
        </w:rPr>
      </w:pPr>
      <w:r>
        <w:rPr>
          <w:rFonts w:hint="eastAsia" w:ascii="仿宋_GB2312" w:eastAsia="仿宋_GB2312"/>
          <w:sz w:val="32"/>
          <w:szCs w:val="32"/>
        </w:rPr>
        <w:t>应急措施：</w:t>
      </w:r>
    </w:p>
    <w:p>
      <w:pPr>
        <w:tabs>
          <w:tab w:val="left" w:pos="295"/>
        </w:tabs>
        <w:spacing w:line="560" w:lineRule="exact"/>
        <w:ind w:firstLine="640" w:firstLineChars="200"/>
        <w:rPr>
          <w:rFonts w:ascii="仿宋_GB2312" w:eastAsia="仿宋_GB2312"/>
          <w:sz w:val="32"/>
          <w:szCs w:val="32"/>
        </w:rPr>
      </w:pPr>
      <w:r>
        <w:rPr>
          <w:rFonts w:hint="eastAsia" w:ascii="仿宋_GB2312" w:eastAsia="仿宋_GB2312"/>
          <w:sz w:val="32"/>
          <w:szCs w:val="32"/>
        </w:rPr>
        <w:t>1.如发现有学生出现发热、干咳、乏力等新冠肺炎可疑症状时，应避免继续接触他人，在临时医学观察点或单独隔离观察间执行隔离观察，做好防护并送当地发热门诊就诊排查</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病例处置。核酸筛查阳性病例在做好防护的前提下应立即转送当地指定医疗机构就诊排查，要积极配合当地疾控中心做好流行病学调查，尽快查明可能的感染源;在当地疾控中心的指导下，依法依规、精准管控，科学划定防控区域范围至最小单位，果断采取限制性防控措施</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3.其他处置措施。密切接触者和密切接触场所管控按照最新防控方案和湖南省相关应急处置预案做好防控措施。</w:t>
      </w:r>
    </w:p>
    <w:p>
      <w:pPr>
        <w:spacing w:line="560" w:lineRule="exact"/>
        <w:rPr>
          <w:rFonts w:ascii="仿宋_GB2312" w:eastAsia="仿宋_GB2312"/>
          <w:sz w:val="32"/>
          <w:szCs w:val="32"/>
        </w:rPr>
      </w:pPr>
      <w:r>
        <w:rPr>
          <w:rFonts w:hint="eastAsia" w:ascii="仿宋_GB2312" w:eastAsia="仿宋_GB2312"/>
          <w:sz w:val="32"/>
          <w:szCs w:val="32"/>
        </w:rPr>
        <w:t xml:space="preserve">    （三）交通安全防护要求及应急措施</w:t>
      </w:r>
    </w:p>
    <w:p>
      <w:pPr>
        <w:spacing w:line="560" w:lineRule="exact"/>
        <w:rPr>
          <w:rFonts w:ascii="仿宋_GB2312" w:eastAsia="仿宋_GB2312"/>
          <w:sz w:val="32"/>
          <w:szCs w:val="32"/>
        </w:rPr>
      </w:pPr>
      <w:r>
        <w:rPr>
          <w:rFonts w:hint="eastAsia" w:ascii="仿宋_GB2312" w:eastAsia="仿宋_GB2312"/>
          <w:sz w:val="32"/>
          <w:szCs w:val="32"/>
        </w:rPr>
        <w:t>防护要求：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购买外地往返高铁票时师生统一购买交通意外险</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出行期间乘坐高铁等交通工具时学生要遵守交通秩序和相关防疫管理要求，全程应正确佩戴口罩</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市内交通采取租车方式，上下车时清点人数，教学活动中的形成应全体学生统一行动。</w:t>
      </w:r>
    </w:p>
    <w:p>
      <w:pPr>
        <w:spacing w:line="560" w:lineRule="exact"/>
        <w:rPr>
          <w:rFonts w:ascii="仿宋_GB2312" w:eastAsia="仿宋_GB2312"/>
          <w:sz w:val="32"/>
          <w:szCs w:val="32"/>
        </w:rPr>
      </w:pPr>
      <w:r>
        <w:rPr>
          <w:rFonts w:hint="eastAsia" w:ascii="仿宋_GB2312" w:eastAsia="仿宋_GB2312"/>
          <w:sz w:val="32"/>
          <w:szCs w:val="32"/>
        </w:rPr>
        <w:t>应急措施：</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若遭遇不可抗力因素导致既定交通道路中途瘫痪（如塌方、泥石流）而不能前往下一处目的地，则应立即更换为前往下一处目的地最近的线路</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若遭遇道路管制，则应立即原路返回住宿处或更换旅游目的地。由随行教师根据当时实际情况做出最合理选择</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3.如遭遇车祸等重大意外事故，应第一时间停止教学活动，并立即联系医院进行抢救。随行教师应第一时间报警，并注意取证以便帮助警官调查，并联系保险公司进行处理赔偿。</w:t>
      </w:r>
    </w:p>
    <w:p>
      <w:pPr>
        <w:spacing w:line="560" w:lineRule="exact"/>
        <w:rPr>
          <w:rFonts w:ascii="仿宋_GB2312" w:eastAsia="仿宋_GB2312"/>
          <w:sz w:val="32"/>
          <w:szCs w:val="32"/>
        </w:rPr>
      </w:pPr>
      <w:r>
        <w:rPr>
          <w:rFonts w:hint="eastAsia" w:ascii="仿宋_GB2312" w:eastAsia="仿宋_GB2312"/>
          <w:sz w:val="32"/>
          <w:szCs w:val="32"/>
        </w:rPr>
        <w:t xml:space="preserve">    （四）</w:t>
      </w:r>
      <w:bookmarkStart w:id="0" w:name="_Toc53237015"/>
      <w:r>
        <w:rPr>
          <w:rFonts w:hint="eastAsia" w:ascii="仿宋_GB2312" w:eastAsia="仿宋_GB2312"/>
          <w:sz w:val="32"/>
          <w:szCs w:val="32"/>
        </w:rPr>
        <w:t>人身安全防护要求及应急措施</w:t>
      </w:r>
      <w:bookmarkEnd w:id="0"/>
    </w:p>
    <w:p>
      <w:pPr>
        <w:spacing w:line="560" w:lineRule="exact"/>
        <w:rPr>
          <w:rFonts w:ascii="仿宋_GB2312" w:eastAsia="仿宋_GB2312"/>
          <w:sz w:val="32"/>
          <w:szCs w:val="32"/>
        </w:rPr>
      </w:pPr>
      <w:r>
        <w:rPr>
          <w:rFonts w:hint="eastAsia" w:ascii="仿宋_GB2312" w:eastAsia="仿宋_GB2312"/>
          <w:sz w:val="32"/>
          <w:szCs w:val="32"/>
        </w:rPr>
        <w:t>防护要求：</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.所有师生在教学活动开展前应统一购买意外保险</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所有师生在教学活动开展前应签署《旅游学院外出安全承诺书》一式两份，一份交由学院备案，一份由自己保存</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个人如有特殊疾病不能参加本次教学活动的同学应提前说明；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个人在教学活动开展期间应准备一定数量的防疫物资（如口罩、免洗手消毒液、体温枪体温计等）和日常药品（如创可贴、藿香正气水、晕车药等）</w:t>
      </w:r>
      <w:r>
        <w:rPr>
          <w:rFonts w:ascii="仿宋_GB2312" w:eastAsia="仿宋_GB2312"/>
          <w:sz w:val="32"/>
          <w:szCs w:val="32"/>
        </w:rPr>
        <w:t>。</w:t>
      </w:r>
    </w:p>
    <w:p>
      <w:pPr>
        <w:spacing w:line="560" w:lineRule="exact"/>
        <w:rPr>
          <w:rFonts w:ascii="仿宋_GB2312" w:eastAsia="仿宋_GB2312"/>
          <w:sz w:val="32"/>
          <w:szCs w:val="32"/>
        </w:rPr>
      </w:pPr>
      <w:bookmarkStart w:id="1" w:name="_Toc53237016"/>
      <w:r>
        <w:rPr>
          <w:rFonts w:hint="eastAsia" w:ascii="仿宋_GB2312" w:eastAsia="仿宋_GB2312"/>
          <w:sz w:val="32"/>
          <w:szCs w:val="32"/>
        </w:rPr>
        <w:t>应急措施</w:t>
      </w:r>
      <w:bookmarkEnd w:id="1"/>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.如学生发生争执、辱骂甚至斗殴行为，随行老师应立即制止</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.若游客在游玩时因个人原因造成景区文物、遗址的损坏，该游客应按照景区要求进行赔偿</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如有师生在教学过程中突发病情或发生摔伤、中暑及遭受车祸等意外伤害，应第一时间停止教学活动，立即使用医疗物品进行临时性的救治活动并联系医院进行抢救，同时随行教师应注意取证以便后续处理。</w:t>
      </w:r>
    </w:p>
    <w:p>
      <w:pPr>
        <w:pStyle w:val="6"/>
        <w:shd w:val="clear" w:color="auto" w:fill="FFFFFF"/>
        <w:snapToGrid w:val="0"/>
        <w:spacing w:before="0" w:beforeAutospacing="0" w:after="0" w:afterAutospacing="0" w:line="540" w:lineRule="exact"/>
        <w:ind w:firstLine="643" w:firstLineChars="200"/>
        <w:jc w:val="right"/>
        <w:textAlignment w:val="baseline"/>
        <w:rPr>
          <w:rFonts w:ascii="仿宋_GB2312" w:eastAsia="仿宋_GB2312"/>
          <w:b/>
          <w:sz w:val="32"/>
          <w:szCs w:val="32"/>
        </w:rPr>
      </w:pPr>
    </w:p>
    <w:tbl>
      <w:tblPr>
        <w:tblStyle w:val="7"/>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南昌大学旅游学院综合办         2021年6月30日印发</w:t>
            </w:r>
          </w:p>
        </w:tc>
      </w:tr>
    </w:tbl>
    <w:p>
      <w:pPr>
        <w:pStyle w:val="6"/>
        <w:shd w:val="clear" w:color="auto" w:fill="FFFFFF"/>
        <w:snapToGrid w:val="0"/>
        <w:spacing w:before="0" w:beforeAutospacing="0" w:after="0" w:afterAutospacing="0" w:line="540" w:lineRule="exact"/>
        <w:ind w:firstLine="643" w:firstLineChars="200"/>
        <w:jc w:val="right"/>
        <w:textAlignment w:val="baseline"/>
        <w:rPr>
          <w:rFonts w:ascii="仿宋_GB2312" w:eastAsia="仿宋_GB2312"/>
          <w:b/>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6FEC"/>
    <w:multiLevelType w:val="singleLevel"/>
    <w:tmpl w:val="85D56FEC"/>
    <w:lvl w:ilvl="0" w:tentative="0">
      <w:start w:val="4"/>
      <w:numFmt w:val="chineseCounting"/>
      <w:suff w:val="nothing"/>
      <w:lvlText w:val="%1、"/>
      <w:lvlJc w:val="left"/>
      <w:rPr>
        <w:rFonts w:hint="eastAsia"/>
      </w:rPr>
    </w:lvl>
  </w:abstractNum>
  <w:abstractNum w:abstractNumId="1">
    <w:nsid w:val="0473305E"/>
    <w:multiLevelType w:val="singleLevel"/>
    <w:tmpl w:val="047330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3E38"/>
    <w:rsid w:val="00037905"/>
    <w:rsid w:val="000A5616"/>
    <w:rsid w:val="000C798C"/>
    <w:rsid w:val="00185D50"/>
    <w:rsid w:val="0027717C"/>
    <w:rsid w:val="00301B78"/>
    <w:rsid w:val="003242CC"/>
    <w:rsid w:val="003C3E38"/>
    <w:rsid w:val="00460C07"/>
    <w:rsid w:val="0048748C"/>
    <w:rsid w:val="004C3B90"/>
    <w:rsid w:val="00507E3A"/>
    <w:rsid w:val="00574BA6"/>
    <w:rsid w:val="006437CA"/>
    <w:rsid w:val="006F7BC2"/>
    <w:rsid w:val="008A6D3D"/>
    <w:rsid w:val="008F1B74"/>
    <w:rsid w:val="009530CA"/>
    <w:rsid w:val="00972D71"/>
    <w:rsid w:val="00BF0A8B"/>
    <w:rsid w:val="00C164D5"/>
    <w:rsid w:val="00C45334"/>
    <w:rsid w:val="00C5680E"/>
    <w:rsid w:val="00DE6D3A"/>
    <w:rsid w:val="00E2551F"/>
    <w:rsid w:val="00E25C8A"/>
    <w:rsid w:val="594D4AEB"/>
    <w:rsid w:val="5EE4460E"/>
    <w:rsid w:val="7FCC7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lang w:val="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footer"/>
    <w:basedOn w:val="1"/>
    <w:link w:val="15"/>
    <w:unhideWhenUsed/>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标题 1 字符"/>
    <w:basedOn w:val="9"/>
    <w:qFormat/>
    <w:uiPriority w:val="9"/>
    <w:rPr>
      <w:rFonts w:ascii="Calibri" w:hAnsi="Calibri" w:eastAsia="宋体" w:cs="Times New Roman"/>
      <w:b/>
      <w:bCs/>
      <w:kern w:val="44"/>
      <w:sz w:val="44"/>
      <w:szCs w:val="44"/>
    </w:rPr>
  </w:style>
  <w:style w:type="character" w:customStyle="1" w:styleId="12">
    <w:name w:val="页眉 字符"/>
    <w:basedOn w:val="9"/>
    <w:semiHidden/>
    <w:uiPriority w:val="99"/>
    <w:rPr>
      <w:rFonts w:ascii="Calibri" w:hAnsi="Calibri" w:eastAsia="宋体" w:cs="Times New Roman"/>
      <w:sz w:val="18"/>
      <w:szCs w:val="18"/>
    </w:rPr>
  </w:style>
  <w:style w:type="character" w:customStyle="1" w:styleId="13">
    <w:name w:val="页眉 Char"/>
    <w:link w:val="5"/>
    <w:uiPriority w:val="99"/>
    <w:rPr>
      <w:rFonts w:ascii="Calibri" w:hAnsi="Calibri" w:eastAsia="宋体" w:cs="Times New Roman"/>
      <w:kern w:val="0"/>
      <w:sz w:val="18"/>
      <w:szCs w:val="18"/>
      <w:lang w:val="zh-CN" w:eastAsia="zh-CN"/>
    </w:rPr>
  </w:style>
  <w:style w:type="character" w:customStyle="1" w:styleId="14">
    <w:name w:val="页脚 字符"/>
    <w:basedOn w:val="9"/>
    <w:semiHidden/>
    <w:uiPriority w:val="99"/>
    <w:rPr>
      <w:rFonts w:ascii="Calibri" w:hAnsi="Calibri" w:eastAsia="宋体" w:cs="Times New Roman"/>
      <w:sz w:val="18"/>
      <w:szCs w:val="18"/>
    </w:rPr>
  </w:style>
  <w:style w:type="character" w:customStyle="1" w:styleId="15">
    <w:name w:val="页脚 Char"/>
    <w:link w:val="4"/>
    <w:uiPriority w:val="99"/>
    <w:rPr>
      <w:rFonts w:ascii="Calibri" w:hAnsi="Calibri" w:eastAsia="宋体" w:cs="Times New Roman"/>
      <w:kern w:val="0"/>
      <w:sz w:val="18"/>
      <w:szCs w:val="18"/>
      <w:lang w:val="zh-CN" w:eastAsia="zh-CN"/>
    </w:rPr>
  </w:style>
  <w:style w:type="character" w:customStyle="1" w:styleId="16">
    <w:name w:val="标题 1 Char"/>
    <w:link w:val="2"/>
    <w:qFormat/>
    <w:uiPriority w:val="9"/>
    <w:rPr>
      <w:rFonts w:ascii="宋体" w:hAnsi="宋体" w:eastAsia="宋体" w:cs="Times New Roman"/>
      <w:b/>
      <w:bCs/>
      <w:kern w:val="36"/>
      <w:sz w:val="48"/>
      <w:szCs w:val="48"/>
      <w:lang w:val="zh-CN" w:eastAsia="zh-CN"/>
    </w:rPr>
  </w:style>
  <w:style w:type="character" w:customStyle="1" w:styleId="17">
    <w:name w:val="日期 Char"/>
    <w:basedOn w:val="9"/>
    <w:link w:val="3"/>
    <w:semiHidden/>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428</Words>
  <Characters>2443</Characters>
  <Lines>20</Lines>
  <Paragraphs>5</Paragraphs>
  <TotalTime>137</TotalTime>
  <ScaleCrop>false</ScaleCrop>
  <LinksUpToDate>false</LinksUpToDate>
  <CharactersWithSpaces>2866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2021-05-26T08:39:00Z</dcterms:created>
  <dc:creator>Wang Wenhui</dc:creator>
  <cp:lastModifiedBy>胡亚捷</cp:lastModifiedBy>
  <dcterms:modified xsi:type="dcterms:W3CDTF">2021-07-05T04:28:10Z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9705E13D942E4EECA16CEEE9B2E01FD2</vt:lpwstr>
  </property>
</Properties>
</file>